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ACPR/341/2023 vom 15. November 2022</w:t>
      </w:r>
    </w:p>
    <w:p>
      <w:r>
        <w:t>GE Cour de justice, 2022-11-15, FR</w:t>
      </w:r>
    </w:p>
    <w:p>
      <w:r>
        <w:rPr>
          <w:b/>
        </w:rPr>
        <w:t xml:space="preserve">Quelle: </w:t>
      </w:r>
      <w:r>
        <w:t>https://mcp.opencaselaw.ch/entscheid/ge_gerichte_ACPR_341_2023</w:t>
      </w:r>
    </w:p>
    <w:p>
      <w:r>
        <w:t>FR: GE_GERICHTE ACPR/341/2023 du 15 novembre 2022</w:t>
      </w:r>
    </w:p>
    <w:p>
      <w:r>
        <w:t>IT: GE_GERICHTE ACPR/341/2023 del 15 novembre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 les formalités de notification (art. 85 al. 2 CPP) n'ayant pas été observées –, concerne une ordonnance sujette à recours auprès de la Chambre de céans (art. 393 al. 1 let. a CPP). 2.2.1. Il convient d'examiner si les recourants disposent de la qualité pour recourir en tant qu'ils contestent l'ordonnance querellée concernant les infractions de tentative de contrainte, voire de menaces. Selon l'art. 382 al. 1 CPP, toute partie qui a un intérêt juridiquement protégé à l'annulation ou à la modification d'une décision a qualité pour recourir contre celle- ci. Le recourant, quel qu'il soit, doit être directement atteint dans ses droits et doit établir que la décision attaquée viole une règle de droit qui a pour but de protéger ses intérêts et qu'il peut, par conséquent, en déduire un droit subjectif. Il doit en outre avoir un intérêt à l'élimination de cette atteinte, c'est-à-dire à l'annulation ou à la modification de la décision dont provient l'atteinte (Y. JEANNERET / A. KUHN / C. PERRIER DEPEURSINGE (éds), Commentaire romand : Code de procédure pénale suisse, 2e éd., Bâle 2019, n. 2 ad art. 382). L'intérêt doit être juridique, direct, actuel et pratique, le but étant de permettre aux tribunaux de ne trancher que des questions concrètes et de ne pas prendre des décisions uniquement théoriques (ATF 137 I 296 consid. 4.2). 2.2.2. Le bien juridiquement protégé par l'art. 181 CP (contrainte) est la liberté d'action, plus particulièrement la libre formation et le libre exercice de la volonté (ATF 141 IV 1 précité, consid. 3.3.1 et les références citées).</w:t>
      </w:r>
    </w:p>
    <w:p>
      <w:r>
        <w:t>- 5/10 - P/13194/2022 La loi reconnaît aux personnes morales la capacité de former et d'exprimer, au travers de leurs organes, une volonté et d'agir en conséquence. Il en découle que la libre formation et le libre exercice de la volonté d'une personne morale doivent être protégés, au même titre que ceux d'une personne physique, par l'art. 181 CP. Ainsi, une personne morale qui est atteinte dans la libre formation ou le libre exercice de sa volonté doit être considérée comme lésée par l'infraction de contrainte (cf. art. 55 CC; ATF 141 IV 1 consid. 3.3.2). 2.2.3. L'infraction à l'art. 180 CP implique que le lésé ait été effrayé ou alarmé, c'est- à-dire qu'il ait ressenti un sentiment de peur. Elle ne nécessite en revanche pas, contrairement à l'infraction de contrainte, que le lésé soit influencé dans sa volonté ou sa manière d'agir (ATF 141 IV 1 précité consid. 3.2.3). Ainsi, les biens juridiquement protégés par cette disposition sont les sentiments de paix intérieure et de sécurité. Seule une personne physique peut éprouver de tels sentiments. Une personne morale, si elle peut avoir une volonté, ne peut ressentir ni sentiment de paix ou de sécurité, ni de peur. Elle ne peut par conséquent être titulaire du bien juridique protégé par l'infraction de menaces, partant être lésée par celle-ci (ATF 141 IV 1 précité consid. 3.2.4).</w:t>
      </w:r>
    </w:p>
    <w:p>
      <w:r>
        <w:rPr>
          <w:b/>
        </w:rPr>
        <w:t>E. 2.3</w:t>
      </w:r>
    </w:p>
    <w:p>
      <w:r>
        <w:t>En l'espèce, conformément à la jurisprudence précitée, les recourants ont la qualité pour recourir quant à l'éventuelle infraction de contrainte, étant directement touchés dans leurs droits (art. 115 CPP). B______ est le destinataire et est directement visé par les propos querellés. Quant à A______ Sàrl, elle reproche au mis en cause d'avoir tenté de faire pression sur son unique associé-gérant afin qu'il transige négativement sur les prétentions qu'elle a formulées dans le cadre de la procédure civile. En revanche, seul B______ détient la qualité pour recourir concernant l'éventuelle infraction de menaces, la société, personne morale, n'ayant pas pu être atteinte dans ses sentiments de paix intérieurs et de sécurité dont elle est dépourvue.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w:t>
      </w:r>
    </w:p>
    <w:p>
      <w:r>
        <w:t>- 6/10 - P/13194/2022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On vise ici non la simple mise en garde ou l’avertissement, mais une forme de pression psychologique qui peut, par exemple, consister en la perspective de porter atteinte à un bien particulier, comme la santé, mais aussi à des acquis immatériels tels l’avenir économique, les chances de carrière, l’honneur, la considération et l’intégrité d’une personne ou encore la réputation auprès de la clientèle d’une entreprise. La question doit être tranchée en fonction de critères objectifs en se plaçant du point de vue d'une personne de sensibilité moyenne (ATF 122 IV 322 consid. 1a; 120 IV 17 consid.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On vise ici une forme de pression psychologique qui peut, par exemple, consister en la perspective de porter atteinte à un bien particulier, comme la santé, mais aussi à des acquis immatériels, tels l'avenir économique, les chances de carrières, l'honneur, la considération et l'intégrité d'une personne ou encore la réputation auprès de la clientèle d'une entreprise (A. MACALUSO / L. MOREILLON / N. QUELOZ (éds), Commentaire romand du Code pénal II, 2e éd., Bâle 2017, n. 13 ad art. 181 et les références citées).</w:t>
      </w:r>
    </w:p>
    <w:p>
      <w:r>
        <w:t>- 7/10 - P/13194/2022 Sur le plan subjectif, il faut que l'auteur ait agi intentionnellement, c'est-à-dire qu'il ait voulu contraindre la victime à adopter le comportement visé en étant conscient de l'illicéité de son comportement; le dol éventuel suffit (ATF 120 IV 7 consid. 2c).</w:t>
      </w:r>
    </w:p>
    <w:p>
      <w:r>
        <w:rPr>
          <w:b/>
        </w:rPr>
        <w:t>E. 3.3</w:t>
      </w:r>
    </w:p>
    <w:p>
      <w:r>
        <w:t>Lorsque la victime ne se laisse pas intimider et n'adopte pas le comportement voulu par l'auteur, ce dernier est punissable de tentative de contrainte (art. 22 al. 1 CP; ATF 129 IV 262 consid. 2.7; 106 IV 125 consid. 2b).</w:t>
      </w:r>
    </w:p>
    <w:p>
      <w:r>
        <w:rPr>
          <w:b/>
        </w:rPr>
        <w:t>E. 3.4</w:t>
      </w:r>
    </w:p>
    <w:p>
      <w:r>
        <w:t>Aux termes de l'art. 180 CP, se rend coupable de menaces celui qui, par une menace grave, alarme ou effraie une personne. La menace n’est punissable, aux termes du texte légal, que si elle est « grave ». À cet égard, les exigences sont plus élevées en ce qui concerne les menaces (« menace grave ») qu’au regard de l’infraction de contrainte (« menaçant d’un dommage sérieux »; A. MACALUSO / L. MOREILLON / N. QUELOZ (éds), op. cit., n. 4 ad art. 180; ATF 81 IV 101 consid. 3). Pour être qualifiée de grave, la menace doit être de nature à alarmer ou à effrayer la victime. Par menace, il faut entendre que l’auteur, par ses paroles ou son comportement, fait volontairement redouter à la victime la survenance d’un préjudice au sens large. La question de la gravité de la menace laisse ainsi une marge d’appréciation au juge, mais elle doit en principe procéder d’une démarche objective, en ce sens qu’il faut rechercher quelle en est la perception d’un individu raisonnable, doté d’une sensibilité moyenne : on tient ainsi compte de la réaction qu’aurait une personne raisonnable, dotée d’une résistance psychologique plus ou moins normale, face à une situation identique (A. MACALUSO / L. MOREILLON / N. QUELOZ (éds), op. cit., n. 5 ad art. 180).</w:t>
      </w:r>
    </w:p>
    <w:p>
      <w:r>
        <w:rPr>
          <w:b/>
        </w:rPr>
        <w:t>E. 3.5</w:t>
      </w:r>
    </w:p>
    <w:p>
      <w:r>
        <w:t>En l'occurrence, à titre liminaire, s'agissant de l'infraction de contrainte, il est admis que seule la forme de la tentative entre en ligne de compte, les recourants n'ayant pas donné suite au courriel litigieux. Cela étant, en mentionnant uniquement avoir des informations propres "à nuire", sans autre précision, ces propos ne revêtent pas l'intensité nécessaire à la réalisation de la condition de menace d'un dommage sérieux ni d'un autre moyen de contrainte. En effet, au regard de la teneur du courriel, on ne peut objectivement déduire quel éventuel inconvénient auraient subi les recourants si lesdites données avaient été communiquées. Preuve en est que les recourants et le mis en cause ne pensaient pas aux mêmes informations. Si les premiers craignaient que le mis en cause ne prenne contact avec les clients de la société pour porter atteinte à l'honneur et à la réputation de B______, le second faisait référence à la situation fiscale du précité.</w:t>
      </w:r>
    </w:p>
    <w:p>
      <w:r>
        <w:t>- 8/10 - P/13194/2022 De plus, contrairement à ce que prétendent les recourants, il n'est pas rendu vraisemblable que le mis en cause entendait propager "d'autres rumeurs", rien ne permettant de le soupçonner. Le fait que, par le passé, il avait agi de telle manière ne signifie pas, en l'absence d'autre élément corroborant, que tel aurait été le cas dans le cas présent. Partant, la réception d'un tel message de mise en garde n'est pas de nature à faire craindre, à une personne de sensibilité moyenne, la survenance d'un dommage sérieux, quand bien même elle ne devait pas faire droit à l'arrangement évoqué. Ainsi, la contrainte, même sous la forme de la tentative, n'est pas réalisée. Au regard de ce qui précède, l'infraction de menaces n'est pas non plus remplie. Le degré de gravité de la menace nécessaire à celle-là étant plus élevée qu'à celle de la contrainte.</w:t>
      </w:r>
    </w:p>
    <w:p>
      <w:r>
        <w:rPr>
          <w:b/>
        </w:rPr>
        <w:t>E. 4</w:t>
      </w:r>
    </w:p>
    <w:p>
      <w:r>
        <w:t>Justifiée, l'ordonnance querellée sera donc confirmée.</w:t>
      </w:r>
    </w:p>
    <w:p>
      <w:r>
        <w:rPr>
          <w:b/>
        </w:rPr>
        <w:t>E. 5</w:t>
      </w:r>
    </w:p>
    <w:p>
      <w:r>
        <w:t>Les recourants, qui succombent, supporteront les frais envers l'État, fixés en totalité à CHF 900.- (art. 428 al. 1 CPP et 13 al. 1 du Règlement fixant le tarif des frais en matière pénale, RTFMP ; E 4 10.03). * * * * *</w:t>
      </w:r>
    </w:p>
    <w:p>
      <w:r>
        <w:t>- 9/10 - P/13194/2022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