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ACPR/341/2020 vom 2. Dezember 2019</w:t>
      </w:r>
    </w:p>
    <w:p>
      <w:r>
        <w:t>GE Cour de justice, 2019-12-02, FR</w:t>
      </w:r>
    </w:p>
    <w:p>
      <w:r>
        <w:rPr>
          <w:b/>
        </w:rPr>
        <w:t xml:space="preserve">Quelle: </w:t>
      </w:r>
      <w:r>
        <w:t>https://mcp.opencaselaw.ch/entscheid/ge_gerichte_ACPR_341_2020</w:t>
      </w:r>
    </w:p>
    <w:p>
      <w:r>
        <w:t>FR: GE_GERICHTE ACPR/341/2020 du 2 décembre 2019</w:t>
      </w:r>
    </w:p>
    <w:p>
      <w:r>
        <w:t>IT: GE_GERICHTE ACPR/341/2020 del 2 dicembre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- 6/10 - P/14427/2019</w:t>
      </w:r>
    </w:p>
    <w:p>
      <w:r>
        <w:rPr>
          <w:b/>
        </w:rPr>
        <w:t>E. 3</w:t>
      </w:r>
    </w:p>
    <w:p>
      <w:r>
        <w:t>Le recourant reproche au Ministère public de ne pas être entré en matière sur sa plainte du 7 mai 2019.</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w:t>
      </w:r>
    </w:p>
    <w:p>
      <w:r>
        <w:t>- 7/10 - P/14427/2019 politiques ou professionnelles, mais est également propre à l'exposer au mépris en tant qu'être humain (ATF 137 IV 313 consid. 2.1.4 ; arrêt du Tribunal fédéral 6B_6/2015 du 23 mars 2016 consid. 2.2).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Pour qu'il y ait diffamation, il faut que l'auteur s'adresse à un tiers. Est en principe considérée comme tiers toute personne autre que l'auteur et l'objet des propos qui portent atteinte à l'honneur (ATF 86 IV 209).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3.3</w:t>
      </w:r>
    </w:p>
    <w:p>
      <w:r>
        <w:t>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6S.6/2002 du</w:t>
      </w:r>
    </w:p>
    <w:p>
      <w:r>
        <w:rPr>
          <w:b/>
        </w:rPr>
        <w:t>E. 3.4</w:t>
      </w:r>
    </w:p>
    <w:p>
      <w:r>
        <w:t>Se rend coupable d'injure celui qui aura, par la parole, l'écriture, l'image, le geste ou par des voies de fait, attaqué autrui dans son honneur (art. 177 al. 1 CP). Cette infraction est subsidiaire par rapport à la diffamation (art. 173 CP) ou à la calomnie (art. 174 CP).</w:t>
      </w:r>
    </w:p>
    <w:p>
      <w:r>
        <w:rPr>
          <w:b/>
        </w:rPr>
        <w:t>E. 3.5</w:t>
      </w:r>
    </w:p>
    <w:p>
      <w:r>
        <w:t>En l’espèce, les propos litigieux visent à l'évidence la manière dont le recourant exerçait son mandat dans le cadre du litige opposant le mis en cause et son ex- épouse, et non le recourant en tant qu’être humain. Or, la réputation professionnelle n'est pas protégée par les art. 173ss CP. Même si le courriel litigieux a été adressé à l'adresse de contact générale de l'étude, il est manifeste que le mis en cause entendait s'adresser au recourant uniquement, ce dernier ayant, à teneur du dossier, constamment utilisé cette adresse – qui figure sur son papier à entête – dans leurs échanges de courriels. Il ne ressort ainsi pas du dossier que le mis en cause aurait voulu "diffamer" le recourant en s'adressant à des tiers. En critiquant sa manière de</w:t>
      </w:r>
    </w:p>
    <w:p>
      <w:r>
        <w:t>- 8/10 - P/14427/2019 travailler, le mis en cause ne l'a pas non plus offensé, ni n'a fait preuve de mépris à son égard, en tant que personne. Les éléments constitutifs des infractions sus-visées n'étant pas réalisés, c'est ainsi avec raison que le Ministère public a décidé de ne pas entrer en matière sur la plainte pénale du recourant. 4. Justifiée, l’ordonnance querellée sera donc confirmée. 5. Le recourant, qui succombe, supportera les frais envers l'État, qui seront fixés en totalité à CHF 900.- (art. 428 al. 1 CPP et 13 al. 1 du Règlement fixant le tarif des frais en matière pénale, RTFMP ; E 4 10.03). * * * * *</w:t>
      </w:r>
    </w:p>
    <w:p>
      <w:r>
        <w:t>- 9/10 - P/14427/2019</w:t>
      </w:r>
    </w:p>
    <w:p>
      <w:r>
        <w:rPr>
          <w:b/>
        </w:rPr>
        <w:t>E. 6</w:t>
      </w:r>
    </w:p>
    <w:p>
      <w:r>
        <w:t>février 2002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