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ACPR/339/2021 vom 25. März 2021</w:t>
      </w:r>
    </w:p>
    <w:p>
      <w:r>
        <w:t>GE Cour de justice, 2021-03-25, FR</w:t>
      </w:r>
    </w:p>
    <w:p>
      <w:r>
        <w:rPr>
          <w:b/>
        </w:rPr>
        <w:t xml:space="preserve">Quelle: </w:t>
      </w:r>
      <w:r>
        <w:t>https://mcp.opencaselaw.ch/entscheid/ge_gerichte_ACPR_339_2021</w:t>
      </w:r>
    </w:p>
    <w:p>
      <w:r>
        <w:t>FR: GE_GERICHTE ACPR/339/2021 du 25 mars 2021</w:t>
      </w:r>
    </w:p>
    <w:p>
      <w:r>
        <w:t>IT: GE_GERICHTE ACPR/339/2021 del 25 marzo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3.2</w:t>
      </w:r>
    </w:p>
    <w:p>
      <w:r>
        <w:t>À teneur des art. 354 al. 1 let. a et 357 al. 1 CPP, le contrevenant peut former opposition contre l'ordonnance pénale devant l'autorité administrative, par écrit et</w:t>
      </w:r>
    </w:p>
    <w:p>
      <w:r>
        <w:t>- 4/7 - P/6008/2021 dans les 10 jours. Si aucune opposition n'est valablement formée, l'ordonnance pénale est assimilée à un jugement entré en force (art. 354 al. 3 CPP).</w:t>
      </w:r>
    </w:p>
    <w:p>
      <w:r>
        <w:rPr>
          <w:b/>
        </w:rPr>
        <w:t>E. 3.3</w:t>
      </w:r>
    </w:p>
    <w:p>
      <w:r>
        <w:t>Selon l’art. 110 CPP, les parties peuvent déposer une requête écrite ou orale, les requêtes orales étant consignées au procès-verbal. Les requêtes écrites doivent être datées et signées (al. 1). En cas de transmission par voie électronique, la requête doit être munie d’une signature électronique valable (al. 2). Dans les cas où la loi exige une transmission écrite – comme pour l'opposition à ordonnance pénale –, l'acte en cause doit être daté et signé (ATF 145 IV 190 consid. 1.3.2 p. 192). La transmission des requêtes et des recours et des annexes peut se faire par voie électronique, mais à certaines conditions de forme prévues à l'art. 110 al. 2 CPP ainsi que par l’ordonnance sur la communication électronique dans le cadre de procédures civiles et pénales de procédures en matière de poursuite pour dettes et faillites (OCEI-PCPP; RS 272.1). Il faut en particulier que les parties qui désirent transmettre leur mémoire par voie électronique s'enregistrent sur une plateforme de distribution reconnue, transmettent leur mémoire ou leur requête sous un certain format et que les documents à signer soient certifiés par une signature électronique (ATF 145 IV 190 consid. 1.3.2 p. 192). Le message électronique simple sans signature électronique ne répond pas à ces exigences (arrêt du Tribunal fédéral 6B_528/2019 du 17 juillet 2019 consid. 3.2). Lorsque le vice est le fait d'une omission involontaire, l’autorité octroie un délai convenable au justiciable pour corriger l’irrégularité (arrêt du Tribunal fédéral 1B_456/2020 du 8 octobre 2020 consid. 2).</w:t>
      </w:r>
    </w:p>
    <w:p>
      <w:r>
        <w:rPr>
          <w:b/>
        </w:rPr>
        <w:t>E. 3.4</w:t>
      </w:r>
    </w:p>
    <w:p>
      <w:r>
        <w:t>En l’espèce, formée par simple courriel – sans signature électronique reconnue au sens de l’art. 110 al. 2 CPP – et par une personne qui n’était pas le contrevenant, l’opposition du 2 février 2021 était doublement viciée. Le recourant en a été informé par lettre du SdC, du 9 février 2021, qu’il ne conteste pas avoir reçue. Cette missive l'invitait, dans un délai venant à échéance le 10 mars 2021, à faire parvenir à l’autorité non seulement une procuration signée par lui autorisant B______ à contester l’ordonnance pénale en son nom, mais aussi un courrier d’opposition signé par la précitée. Le 23 février 2021, le recourant (ou quelqu’un pour lui) a déposé au SdC la procuration. À l’échéance du délai fixé au 10 mars 2021, aucune lettre d’opposition signée par la mandataire n’est cependant parvenue au SdC. Il s’ensuit que, si la procuration a valablement autorisé B______ à former opposition pour le compte du recourant, aucune opposition contenant la signature originale de la mandataire n’est parvenue au SdC, nonobstant la demande expresse de ce dernier et</w:t>
      </w:r>
    </w:p>
    <w:p>
      <w:r>
        <w:t>- 5/7 - P/6008/2021 le délai accordé pour ce faire. Il s’ensuit que l’irrégularité découlant de l’envoi de l’opposition par message électronique, non valable, n’a pas été réparée. Le recourant ne peut se prévaloir de l’erreur commise par B______. Si cette dernière a, certes, par omission involontaire, formé opposition par courriel plutôt que par écrit, le recourant a été personnellement informé par le SdC qu’il lui appartenait, pour régulariser la situation, de lui faire parvenir une procuration valable et un courrier d’opposition signé, faute de quoi l'opposition n'était pas valablement formée. N’ayant pas satisfait à cette deuxième exigence, le recourant n'a pas réparé le vice constitué par l’envoi de l’opposition par courriel, ce dont il est seul responsable. C’est ainsi à bon droit que le Tribunal de police a constaté que l’opposition n’avait pas été valablement formée.</w:t>
      </w:r>
    </w:p>
    <w:p>
      <w:r>
        <w:rPr>
          <w:b/>
        </w:rPr>
        <w:t>E. 4</w:t>
      </w:r>
    </w:p>
    <w:p>
      <w:r>
        <w:t>Justifiée, l'ordonnance querellée sera donc confirmée.</w:t>
      </w:r>
    </w:p>
    <w:p>
      <w:r>
        <w:rPr>
          <w:b/>
        </w:rPr>
        <w:t>E. 5</w:t>
      </w:r>
    </w:p>
    <w:p>
      <w:r>
        <w:t>Le recourant, qui succombe, supportera les frais envers l'État, fixés en totalité à CHF 300.- (art. 428 al. 1 CPP et 13 al. 1 du Règlement fixant le tarif des frais en matière pénale, RTFMP ; E 4 10.03). * * * * *</w:t>
      </w:r>
    </w:p>
    <w:p>
      <w:r>
        <w:t>- 6/7 - P/6008/2021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