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ACPR/337/2025 vom 8. Februar 2025</w:t>
      </w:r>
    </w:p>
    <w:p>
      <w:r>
        <w:t>GE Cour de justice, 2025-02-08, FR</w:t>
      </w:r>
    </w:p>
    <w:p>
      <w:r>
        <w:rPr>
          <w:b/>
        </w:rPr>
        <w:t xml:space="preserve">Quelle: </w:t>
      </w:r>
      <w:r>
        <w:t>https://mcp.opencaselaw.ch/entscheid/ge_gerichte_ACPR_337_2025</w:t>
      </w:r>
    </w:p>
    <w:p>
      <w:r>
        <w:t>FR: GE_GERICHTE ACPR/337/2025 du 8 février 2025</w:t>
      </w:r>
    </w:p>
    <w:p>
      <w:r>
        <w:t>IT: GE_GERICHTE ACPR/337/2025 del 8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w:t>
      </w:r>
    </w:p>
    <w:p>
      <w:r>
        <w:t>- 4/8 - P/3522/2025 procédure (art. 104 al. 1 let. a CPP), qui a un intérêt juridiquement protégé à l'annulation ou à la modification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l'infraction à la LEI reprochée dans le cadre de la P/3522/2025 en cours d'instruction, mais d'autres éventuels actes contraires à la LStup, dès lors qu'il a déjà été soupçonné pour des faits similaires. À cet égard, il existe des indices sérieux et concrets de la commission, par le recourant, de tels actes punissables.</w:t>
      </w:r>
    </w:p>
    <w:p>
      <w:r>
        <w:t>- 5/8 - P/3522/2025 En effet, il est tout d'abord soupçonné d'avoir, le 11 octobre 2024, vendu une demi- boulette de cocaïne à une toxicomane à la rue 1______ no. 3______, à Genève. Que l'intéressé persiste à contester ces faits – nonobstant sa mise en cause formelle par un policier (cf. audience du 17 janvier 2025) – n'est ainsi pas suffisant pour annihiler tout soupçon à son égard, au contraire. Ensuite, quand bien même aucune condamnation n'est inscrite à son casier judiciaire suisse, sa situation personnelle – absence de domicile fixe et d'activité professionnelle –, laissent craindre qu'il pourrait être impliqué dans d'autres infractions à la LStup encore inconnues des autorités, qui pourraient lui être attribuées si l'on était en mesure de comparer son profil d'ADN à des traces prélevées sur les lieux de leurs commissions. Ce risque est d'autant plus à craindre que l'intéressé a été interpellé à deux reprises, à brève échéance, à la rue 1______ nos. 2______ et 3______, répertoriée comme un haut-lieu du trafic de stupéfiants à Genève. Enfin, les infractions à la LStup susceptibles d'être élucidées revêtent une certaine gravité. Il s'agit d'ailleurs d'un des cas expressément listés par la Directive A.5 du Procureur général (cf. n. 4.3) qui justifie l'établissement d'un profil d'ADN pour les infractions passées. L'arrêt de la Chambre de céans cité par le recourant – qui annule une décision du Ministère public ordonnant l'établissement d'un profil d'ADN – ne lui est d'aucun secours et ne saurait donc être transposé ici. Dans ladite affaire, en particulier, le prévenu n'était soupçonné que d'infraction à la LEI – l'absorption par lui d’un parachute de stupéfiants n’ayant pas été retenue –. Tel n'est pas le cas ici, le recourant étant, comme on l'a vu, également soupçonné d'infraction à l'art. 19 LStup. Partant, la mesure querellée n'apparaît aucunement inutile ni disproportionnée. Que son coût soit éventuellement mis à la charge du recourant – ce qui n'est pas évident à ce stade, dès lors que cette question ne se posera qu'à l'issue de la procédure et à la condition que l'intéressé soit condamné – n'est donc pas pertinent.</w:t>
      </w:r>
    </w:p>
    <w:p>
      <w:r>
        <w:rPr>
          <w:b/>
        </w:rPr>
        <w:t>E. 3</w:t>
      </w:r>
    </w:p>
    <w:p>
      <w:r>
        <w:t>Justifiée, l'ordonnance attaquée sera donc confirmée.</w:t>
      </w:r>
    </w:p>
    <w:p>
      <w:r>
        <w:rPr>
          <w:b/>
        </w:rPr>
        <w:t>E. 4</w:t>
      </w:r>
    </w:p>
    <w:p>
      <w:r>
        <w:t>Le recourant sollicite l'assistance judiciaire pour le recours.</w:t>
      </w:r>
    </w:p>
    <w:p>
      <w:r>
        <w:rPr>
          <w:b/>
        </w:rPr>
        <w:t>E. 4.1</w:t>
      </w:r>
    </w:p>
    <w:p>
      <w:r>
        <w:t>L'art. 29 al. 3 Cst féd. soumet l'octroi d'une telle assistance à la condition que le procès soutenu par l'indigent qui la réclame ne paraisse pas dépourvu de toute chance de succès. Tel n'est pas le cas quand les perspectives de gagner ce procès sont notablement plus faibles que les risques de le perdre, et qu'elles ne peuvent donc pas être considérées comme sérieuses, de sorte qu'une personne raisonnable et de condition aisée renoncerait à s'y engager en raison des frais qu'elle s'exposerait à devoir supporter (arrêt du Tribunal fédéral 7B_68/2022 du 6 mars 2024 consid. 4.2).</w:t>
      </w:r>
    </w:p>
    <w:p>
      <w:r>
        <w:t>- 6/8 - P/3522/2025</w:t>
      </w:r>
    </w:p>
    <w:p>
      <w:r>
        <w:rPr>
          <w:b/>
        </w:rPr>
        <w:t>E. 4.2</w:t>
      </w:r>
    </w:p>
    <w:p>
      <w:r>
        <w:t>En l'occurrence, l'indigence du recourant peut être présumée. On ne peut également pas dire que ses griefs étaient d'emblée dénués de chance de succès. L'assistance judiciaire pour le recours sera ainsi admise et son conseil désigné comme défenseur d'office.</w:t>
      </w:r>
    </w:p>
    <w:p>
      <w:r>
        <w:rPr>
          <w:b/>
        </w:rPr>
        <w:t>E. 4.3</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Seules les heures nécessaires sont retenues; elles sont appréciées en fonction, notamment, de la nature, l'importance et les difficultés de la cause, de la qualité du travail fourni et du résultat obtenu (art. 16 al. 2 RAJ).</w:t>
      </w:r>
    </w:p>
    <w:p>
      <w:r>
        <w:rPr>
          <w:b/>
        </w:rPr>
        <w:t>E. 4.4</w:t>
      </w:r>
    </w:p>
    <w:p>
      <w:r>
        <w:t>En l'occurrence, le recourant chiffre et détaille l'activité de son conseil pour la procédure par-devant la Chambre de céans, note d'honoraires à l'appui, à CHF 1'026,95, TVA comprise, correspondant à 4h45 au tarif horaire de CHF 200.-, soit 1h30 d'entretien à l'Étude, 2h15 pour la rédaction du recours et 1h00 pour la consultation et l'analyse du dossier. La problématique juridique étant clairement circonscrite, elle ne nécessitait pas 1h30 d'entretien avec le client. Seule 1h00 sera admise à ce titre. Le temps consacré à la rédaction du recours (six pages, dont deux pages de garde et de conclusions), sera réduit à 1h30, ce temps incluant également la brève réplique consistant principalement en la reprise in extenso d'un passage de l'ACPR/642/2024. L'heure consacrée à la consultation et l'analyse du dossier sera pour sa part admise. Une indemnité correspondant ainsi à 3h30 d'activité, au tarif horaire demandé, plus la TVA, sera allouée.</w:t>
      </w:r>
    </w:p>
    <w:p>
      <w:r>
        <w:rPr>
          <w:b/>
        </w:rPr>
        <w:t>E. 5</w:t>
      </w:r>
    </w:p>
    <w:p>
      <w:r>
        <w:t>Le recourant, qui succombe, supportera les frais envers l'État, fixés en totalité à CHF 500.-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- 7/8 - P/3522/2025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