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ACPR/335/2026 vom 31. März 2026</w:t>
      </w:r>
    </w:p>
    <w:p>
      <w:r>
        <w:t>GE Cour de justice, 2026-03-31, FR</w:t>
      </w:r>
    </w:p>
    <w:p>
      <w:r>
        <w:rPr>
          <w:b/>
        </w:rPr>
        <w:t xml:space="preserve">Quelle: </w:t>
      </w:r>
      <w:r>
        <w:t>https://mcp.opencaselaw.ch/entscheid/ge_gerichte_ACPR_335_2026</w:t>
      </w:r>
    </w:p>
    <w:p>
      <w:r>
        <w:t>FR: GE_GERICHTE ACPR/335/2026 du 31 mars 2026</w:t>
      </w:r>
    </w:p>
    <w:p>
      <w:r>
        <w:t>IT: GE_GERICHTE ACPR/335/2026 del 31 marzo 2026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Doit toutefois être examinée la question de savoir s'il concerne une décision sujette à recours auprès de la Chambre de céans.</w:t>
      </w:r>
    </w:p>
    <w:p>
      <w:r>
        <w:rPr>
          <w:b/>
        </w:rPr>
        <w:t>E. 3</w:t>
      </w:r>
    </w:p>
    <w:p>
      <w:r>
        <w:t>Le recourant conteste le séquestre de deux pages de notes personnelles et confidentielles, relevant selon lui notamment de la stratégie de sa défense et rédigées consécutivement à ses rencontres avec son conseil, ainsi que d'un document imprimé contenant des numéros de téléphones et emails de plusieurs de ses proches.</w:t>
      </w:r>
    </w:p>
    <w:p>
      <w:r>
        <w:rPr>
          <w:b/>
        </w:rPr>
        <w:t>E. 3.1</w:t>
      </w:r>
    </w:p>
    <w:p>
      <w:r>
        <w:t>L'art. 248 al. 1 1ère phrase CPP prévoit que si le détenteur s'oppose au séquestre de certains documents, enregistrements ou autres objets en vertu de l'art. 264 CPP, l'autorité pénale les met sous scellés. Le détenteur doit requérir la mise sous scellés</w:t>
      </w:r>
    </w:p>
    <w:p>
      <w:r>
        <w:t>- 7/10 - P/18656/2025 dans les trois jours suivant la mise en sûreté. Durant ce délai et après une éventuelle mise sous scellés, les documents, enregistrements et autres objets ne peuvent être ni examinés, ni exploités par l’autorité pénale. 3.2.1. Selon l'art. 264 al. 1 CPP, quel que soit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2ème éd., Bâle 2019, n. 6 ad art. 264). 3.2.2. Selon la jurisprudence rendue sous l'ancien droit – qui reste applicable –, la procédure de levée des scellés vise à garantir que les secrets éventuellement contenus dans les éléments saisis en vue d'être perquisitionnés soient protégés (cf. art. 246 à 248 CPP).</w:t>
      </w:r>
    </w:p>
    <w:p>
      <w:r>
        <w:rPr>
          <w:b/>
        </w:rPr>
        <w:t>E. 3.3</w:t>
      </w:r>
    </w:p>
    <w:p>
      <w:r>
        <w:t>À teneur de l'art. 393 al. 1 let. a CPP, le recours est ouvert contre les décisions et les actes de procédure de la police, du ministère public et des autorités pénales compétentes en matière de contraventions.</w:t>
      </w:r>
    </w:p>
    <w:p>
      <w:r>
        <w:rPr>
          <w:b/>
        </w:rPr>
        <w:t>E. 3.3.1</w:t>
      </w:r>
    </w:p>
    <w:p>
      <w:r>
        <w:t>Cette disposition implique qu'une ordonnance de perquisition et de séquestre – qui constitue une mesure de contrainte au sens de l'art. 196 CPP – est, en principe, sujette à recours auprès de la Chambre de céans (cf. art. 198 al. 1 let. a CPP; Y. JEANNERET / A. KUHN / C. PERRIER DEPEURSINGE (éds), op. cit., n. 33 ad art. 393). Cela étant, le recours est irrecevable dans le cas où des mesures de contrainte débouchent sur une procédure d'apposition et de levée des scellés (cf.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Ce dernier arrêt précise également que la voie du recours ne saurait être utilisée pour passer outre le délai légal pour déposer une demande de mise sous scellés (cf. art. 3 al. 2 let. a et b CPP; consid. 3.4).</w:t>
      </w:r>
    </w:p>
    <w:p>
      <w:r>
        <w:t>- 8/10 - P/18656/2025 Autrement dit, la procédure de levée des scellés a le pas sur un éventuel recours visant à contester la mesure de contrainte initiale (arrêts du Tribunal fédéral 7B_253/2023 du 31 août 2023 consid. 3.2.2. et 7B_733/2025 du 22 décembre 2025 consid. 4.2.2).</w:t>
      </w:r>
    </w:p>
    <w:p>
      <w:r>
        <w:rPr>
          <w:b/>
        </w:rPr>
        <w:t>E. 3.3.2</w:t>
      </w:r>
    </w:p>
    <w:p>
      <w:r>
        <w:t>La Chambre de céans a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(ACPR/575/2024 du 6 août 2024 consid. 2.2). Le Tribunal fédéral a confirmé cette motivation (ATF 151 IV 175 consid. 3.3.2).</w:t>
      </w:r>
    </w:p>
    <w:p>
      <w:r>
        <w:rPr>
          <w:b/>
        </w:rPr>
        <w:t>E. 3.4</w:t>
      </w:r>
    </w:p>
    <w:p>
      <w:r>
        <w:t>En l'occurrence, le recourant a demandé, au moment de la notification de l'ordonnance litigieuse, la mise sous scellés des trois documents saisis dans sa cellule le 20 ou 21 février 2026, ce qui a conduit à une procédure de levée des scellés, à la suite de la requête du Ministère public du 19 mars 2026, qui est actuellement en cours. Dans ce cadre, l'intéressé pourra faire valoir ses griefs tirés de la violation de l'art. 263 et 264 CPP, voire des principes de proportionnalité et de la bonne foi, de l'absence de pertinence des données séquestrées, ainsi que de l'éventuelle suppression des références en lien avec lesdits documents lors de son audition par le Ministère public le 2 mars 2026. Conformément à la jurisprudence susmentionnée, le recours contre l'ordonnance de perquisition et de séquestre du 2 mars 2026 n'est par conséquent pas ouvert. Il en irait de même pour le cas où le TMC devait déclarer irrecevable sa demande de mise sous scellés pour cause de tardiveté, la voie du recours n'ayant en effet pas vocation à remplacer celle de la demande de mise sous scellés (cf. arrêt 1B_550_2021 précité).</w:t>
      </w:r>
    </w:p>
    <w:p>
      <w:r>
        <w:rPr>
          <w:b/>
        </w:rPr>
        <w:t>E. 4</w:t>
      </w:r>
    </w:p>
    <w:p>
      <w:r>
        <w:t>Au vu de ce qui précède, le recours doit être déclaré irrecevable.</w:t>
      </w:r>
    </w:p>
    <w:p>
      <w:r>
        <w:rPr>
          <w:b/>
        </w:rPr>
        <w:t>E. 5</w:t>
      </w:r>
    </w:p>
    <w:p>
      <w:r>
        <w:t>Le recourant, qui succombe, supportera les frais envers l'État, fixés en totalité à CHF 800.-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Il sera statué sur l'indemnité du défenseur d'office à la fin de la procédure (art. 135 al. 2 CPP). * * * * *</w:t>
      </w:r>
    </w:p>
    <w:p>
      <w:r>
        <w:t>- 9/10 - P/18656/2025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