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ACPR/334/2024 vom 21. Februar 2024</w:t>
      </w:r>
    </w:p>
    <w:p>
      <w:r>
        <w:t>GE Cour de justice, 2024-02-21, FR</w:t>
      </w:r>
    </w:p>
    <w:p>
      <w:r>
        <w:rPr>
          <w:b/>
        </w:rPr>
        <w:t xml:space="preserve">Quelle: </w:t>
      </w:r>
      <w:r>
        <w:t>https://mcp.opencaselaw.ch/entscheid/ge_gerichte_ACPR_334_2024</w:t>
      </w:r>
    </w:p>
    <w:p>
      <w:r>
        <w:t>FR: GE_GERICHTE ACPR/334/2024 du 21 février 2024</w:t>
      </w:r>
    </w:p>
    <w:p>
      <w:r>
        <w:t>IT: GE_GERICHTE ACPR/334/2024 del 21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prescription des faits dénoncés.</w:t>
      </w:r>
    </w:p>
    <w:p>
      <w:r>
        <w:rPr>
          <w:b/>
        </w:rPr>
        <w:t>E. 3.1</w:t>
      </w:r>
    </w:p>
    <w:p>
      <w:r>
        <w:t>Selon l'art. 310 al. 1 let. b CPP, le ministère public rend immédiatement une non-entrée en matière lorsqu'il existe des empêchements de procéder. Ces empêchements doivent être définitifs, telle que la prescription de l'action publique (M. DUPUIS / L. MOREILLON / C. PIGUET / S. BERGER / M. MAZOU</w:t>
      </w:r>
    </w:p>
    <w:p>
      <w:r>
        <w:t>- 4/8 - P/4730/2024 / V. RODIGARI (éds), Code pénal - Petit commentaire, 2e éd., Bâle 2017, n. 13 ad art. 310).</w:t>
      </w:r>
    </w:p>
    <w:p>
      <w:r>
        <w:rPr>
          <w:b/>
        </w:rPr>
        <w:t>E. 3.2</w:t>
      </w:r>
    </w:p>
    <w:p>
      <w:r>
        <w:t>L'art. 137 CP réprime d'une peine privative de liberté de trois ans au plus ou d'une peine pécuniaire quiconque, pour se procurer ou procurer à un tiers un enrichissement illégitime, s'approprie une chose mobilière appartenant à autrui, en tant que les conditions prévues aux art. 138 à 140 ne sont pas réalisées. L'acte d'appropriation signifie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L'appropriation est illégitime dès lors qu'elle dénote un comportement contraire à la volonté du propriétaire (ATF 129 IV 223 consid. 6.3 ; arrêt du Tribunal fédéral 6B_1056/2018 du 29 janvier 2019 consid. 2.3.1).</w:t>
      </w:r>
    </w:p>
    <w:p>
      <w:r>
        <w:rPr>
          <w:b/>
        </w:rPr>
        <w:t>E. 3.3</w:t>
      </w:r>
    </w:p>
    <w:p>
      <w:r>
        <w:t>L'infraction d'appropriation illégitime, visée par l'art. 137 CP, se distingue de celle d'abus de confiance réprimée par l'art. 138 CP par le fait que cette dernière ne concerne que les choses confiées, l'auteur ayant alors acquis un pouvoir sur celles-ci à la suite d'un accord avec leur propriétaire (ATF 111 IV 132 consid. 1a).</w:t>
      </w:r>
    </w:p>
    <w:p>
      <w:r>
        <w:rPr>
          <w:b/>
        </w:rPr>
        <w:t>E. 3.4</w:t>
      </w:r>
    </w:p>
    <w:p>
      <w:r>
        <w:t>Selon l'art. 97 al. 1 let. c CP, l'action pénale se prescrit par dix ans si la peine maximale encourue est une peine privative de liberté de trois ans. La prescription court dès le jour où l'auteur a exercé son activité coupable (art. 98 let. a CP).</w:t>
      </w:r>
    </w:p>
    <w:p>
      <w:r>
        <w:rPr>
          <w:b/>
        </w:rPr>
        <w:t>E. 3.5</w:t>
      </w:r>
    </w:p>
    <w:p>
      <w:r>
        <w:t>En l'occurrence, le recourant reproche au mis en cause d'avoir, en 2009, disposé sans droit des affaires qu'il avait entreposées dans un garde-meubles loué à B______. Bien que le recourant vise l'infraction d'abus de confiance dans sa plainte et que le Ministère public ait mentionné l'art. 138 CP dans la décision querellée, il apparait que les faits dénoncés pourraient tout au plus être constitutifs d'appropriation illégitime (art. 137 CP).</w:t>
      </w:r>
    </w:p>
    <w:p>
      <w:r>
        <w:t>- 5/8 - P/4730/2024 En effet, il ressort des pièces produites et de ses explications que le recourant n'a pas confié ses biens au mis en cause pour qu'il les conserve mais qu'il a loué, à la société dont le mis en cause est l'associé-gérant, un local afin d'y entreposer ses biens. Ainsi, en sus du fait que le contrat de location du garde-meubles a été conclu avec ladite société, le mis en cause ne disposait d'aucun pouvoir sur les biens du recourant. Celui-ci ne rend d'ailleurs pas vraisemblable qu'un autre accord – expresse ou tacite – que la location du garde-meubles aurait été passé. En l'absence de choses confiées, l'on ne saurait donc faire application de l'art. 138 CP au cas d'espèce. Au vu de ce qui précède, la prescription de l'action pénale a été acquise en février 2019 au plus tard, et ne débutait pas en 2014, comme l'affirme le recourant. En effet, l'éventuelle appropriation illégitime susceptible d'être réalisée par le comportement dénoncé se prescrit par dix ans dès la commission de l'acte prétendument répréhensible, lequel a eu lieu en février 2009, selon le mis en cause. À noter que la prescription serait aussi acquise si ledit acte avait eu lieu dans le courant de l'année 2009, comme semble l'alléguer le recourant. Celui-ci se prévaut à tort de la prescription applicable en droit des obligations. Il existe donc un empêchement de procéder définitif qui justifiait la non-entrée en matière sur une possible appropriation illégitime.</w:t>
      </w:r>
    </w:p>
    <w:p>
      <w:r>
        <w:rPr>
          <w:b/>
        </w:rPr>
        <w:t>E. 3.6</w:t>
      </w:r>
    </w:p>
    <w:p>
      <w:r>
        <w:t>Le recourant évoque en outre l'infraction de dommages à la propriété dans le cas où le mis en cause aurait jeté ses affaires.</w:t>
      </w:r>
    </w:p>
    <w:p>
      <w:r>
        <w:rPr>
          <w:b/>
        </w:rPr>
        <w:t>E. 3.6.1</w:t>
      </w:r>
    </w:p>
    <w:p>
      <w:r>
        <w:t>L'art. 144 CP punit, sur plainte, quiconque, sans droit, endommage, détruit ou met hors d’usage une chose appartenant à autrui ou frappée d’un droit d’usage ou d’usufruit au bénéfice d’autrui.</w:t>
      </w:r>
    </w:p>
    <w:p>
      <w:r>
        <w:rPr>
          <w:b/>
        </w:rPr>
        <w:t>E. 3.6.2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w:t>
      </w:r>
    </w:p>
    <w:p>
      <w:r>
        <w:rPr>
          <w:b/>
        </w:rPr>
        <w:t>E. 3.7</w:t>
      </w:r>
    </w:p>
    <w:p>
      <w:r>
        <w:t>En l'espèce, il ressort de ses explications que le recourant a eu connaissance de l'"évacuation" de ses biens par le mis en cause le 7 juillet 2009, de sorte que le délai pour déposer plainte est arrivé à échéance le 7 octobre 2009. Dans ces circonstances, la plainte, déposée le 19 février 2024, soit largement plus de trois mois après les faits, apparaît tardive, ce qui constitue aussi un empêchement de procéder au sens de l'art. 310 al. 1 let. b CPP. (arrêt du Tribunal fédéral 6B_848/2018 du 4 décembre 2018 consid. 1.5).</w:t>
      </w:r>
    </w:p>
    <w:p>
      <w:r>
        <w:rPr>
          <w:b/>
        </w:rPr>
        <w:t>E. 4</w:t>
      </w:r>
    </w:p>
    <w:p>
      <w:r>
        <w:t>Justifiée, l'ordonnance querellée sera donc confirmée.</w:t>
      </w:r>
    </w:p>
    <w:p>
      <w:r>
        <w:t>- 6/8 - P/4730/2024</w:t>
      </w:r>
    </w:p>
    <w:p>
      <w:r>
        <w:rPr>
          <w:b/>
        </w:rPr>
        <w:t>E. 5</w:t>
      </w:r>
    </w:p>
    <w:p>
      <w:r>
        <w:t>Le recourant sollicite l'assistance judiciaire gratuite pour la procédure de recours, conformément à l'art. 136 al. 3 CPP, entré en vigueur le 1er janvier 2024.</w:t>
      </w:r>
    </w:p>
    <w:p>
      <w:r>
        <w:rPr>
          <w:b/>
        </w:rPr>
        <w:t>E. 5.1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5.3</w:t>
      </w:r>
    </w:p>
    <w:p>
      <w:r>
        <w:t>En l'occurrence, sans même examiner la question de l'indigence, force est de retenir que le recours était voué à l'échec pour les motifs exposés plus haut, de sorte que les conditions pour l'octroi de l'assistance judiciaire ne sont pas remplies. La demande sera, partant, rejetée.</w:t>
      </w:r>
    </w:p>
    <w:p>
      <w:r>
        <w:rPr>
          <w:b/>
        </w:rPr>
        <w:t>E. 6</w:t>
      </w:r>
    </w:p>
    <w:p>
      <w:r>
        <w:t>Le recourant, qui succombe, supportera les frais envers l'État, fixés en totalité à CHF 600.-, pour tenir compte de sa situation financière (art. 428 al. 1 CPP et 13 al. 1 du Règlement fixant le tarif des frais en matière pénale, RTFMP ; E 4 10.03). Le refus d'octroi de l'assistance juridique gratuite est, quant à lui, rendu sans frais (art. 20 RAJ). * * * * *</w:t>
      </w:r>
    </w:p>
    <w:p>
      <w:r>
        <w:t>- 7/8 - P/4730/2024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