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ACPR/333/2023 vom 10. Oktober 2022</w:t>
      </w:r>
    </w:p>
    <w:p>
      <w:r>
        <w:t>GE Cour de justice, 2022-10-10, FR</w:t>
      </w:r>
    </w:p>
    <w:p>
      <w:r>
        <w:rPr>
          <w:b/>
        </w:rPr>
        <w:t xml:space="preserve">Quelle: </w:t>
      </w:r>
      <w:r>
        <w:t>https://mcp.opencaselaw.ch/entscheid/ge_gerichte_ACPR_333_2023</w:t>
      </w:r>
    </w:p>
    <w:p>
      <w:r>
        <w:t>FR: GE_GERICHTE ACPR/333/2023 du 10 octobre 2022</w:t>
      </w:r>
    </w:p>
    <w:p>
      <w:r>
        <w:t>IT: GE_GERICHTE ACPR/333/2023 del 10 ottobre 2022</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w:t>
      </w:r>
    </w:p>
    <w:p>
      <w:r>
        <w:t>- 4/9 - P/10856/2022</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Commentaire romand : Code de procédure pénale suise, 2ème éd., Bâle 2019, n. 9 ad art. 310).</w:t>
      </w:r>
    </w:p>
    <w:p>
      <w:r>
        <w:t>Une non-entrée en matière s'impose également lorsque le litige est de nature purement civile (ATF 137 IV 285 consid. 2.3 p. 287 s.). 3.2.1. L'art. 139 ch. 1 CP punit, du chef de vol,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(ATF 124 IV 102 consid. 2 p. 104).</w:t>
      </w:r>
    </w:p>
    <w:p>
      <w:r>
        <w:t>- 5/9 - P/10856/2022 Le comportement délictueux consiste à soustraire la chose. Autrement dit, une autre personne avait la possession de la chose (même non exclusive), l'auteur la lui enlève contre sa volonté et prend ainsi sa place. Le lésé devait être possesseur de la chose et l'auteur, par la soustraction, a acquis une possession qu'il n'avait pas auparavant (B. CORBOZ, Les infractions en droit suisse, vol. I, Berne 2010, n. 2 ad art. 139 CP).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(arrêt du Tribunal fédéral 6B_311/2013 du 28 mai 2013 consid. 2.4). 3.2.2. Selon l'art. 138 ch. 1 al. 1 CP, commet un abus de confiance celui qui, pour se procurer ou procurer à un tiers un enrichissement illégitime, se sera approprié une chose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(ATF 120 IV 276 consid. 2 p. 278).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p. 115; 118 IV 32 consid. 2a p. 33). L'appropriation implique que l'auteur veut, d'une part, la dépossession durable du propriétaire et, d'autre part, qu'il entend s'attribuer la chose, au moins pour un temps; cette volonté doit se manifester par des signes extérieurs : l'auteur doit se comporter d'une manière qu'il montre qu'il incorpore la chose à son patrimoine, que ce soit pour la conserver, la consommer ou l'aliéner, et se considère comme propriétaire, sans pour autant en avoir la qualité (ATF 121 IV 23 consid. 1c p. 25; 118 IV 148 consid. 2a p. 151 et les arrêts cités), et ce, dans un dessein d'enrichissement illégitime (ATF 133 IV 21 consid. 6.1.2 p. 27; arrêt du Tribunal fédéral 6B_61/2015 du 14 mars 2016 consid. 4.1). Du point de vue subjectif, l'auteur doit agir intentionnellement, avec le dessein de se procurer ou de procurer à un tiers un enrichissement illégitime, qui peut être réalisé par dol éventuel (ATF 118 IV 32 consid. 2 p. 33). 3.2.3. Selon l'art. 137 al. 1 CP, est coupable d'appropriation illégitime celui qui, pour se procurer ou procurer à un tiers un enrichissement illégitime, se sera approprié une chose mobilière appartenant à autrui.</w:t>
      </w:r>
    </w:p>
    <w:p>
      <w:r>
        <w:t>- 6/9 - P/10856/2022</w:t>
      </w:r>
    </w:p>
    <w:p>
      <w:r>
        <w:rPr>
          <w:b/>
        </w:rPr>
        <w:t>E. 3.3</w:t>
      </w:r>
    </w:p>
    <w:p>
      <w:r>
        <w:t>En l'espèce, dans la mesure où le recourant allègue que feu son père aurait volontairement remis à la mise en cause les objets litigieux, l'application des art. 137 et 139 CP doit, d'emblée, être écartée. Quant à l'abus de confiance, il est non contesté que feu B______ a remis à la mise en cause deux étagères et une dizaine d'objets de décoration orientaux. Les parties divergent quant à la question de savoir à quel titre lesdits objets ont été reçus – prêt selon le recourant et donation selon la mise en cause –, chacune estimant revêtir la qualité de propriétaire. Force est de constater qu'il n'existe à la procédure aucun élément probant apte à établir la propriété de l'une ou de l'autre des parties sur les objets litigieux. Rien ne permet de contredire les affirmations de la mise en cause selon lesquelles feu B______ les lui aurait donnés ou offerts, eu égard aux liens étroits les unissant. Le recourant n'a nullement établi le contraire. Il n'a produit qu'une attestation de sa mère biologique aux termes de laquelle cette dernière aurait aperçu les objets litigieux dans l'appartement de la mise en cause, document impropre à établir si ceux-ci avaient été confiés ou offerts à la précitée. S'agissant de la chaine avec pendentif en or – dont le recourant n'a produit aucune photographie –, la mise en cause conteste l'avoir reçue et la perquisition de son logement n'a pas permis la découverte de cet objet. Les actes d'instruction sollicités n'apparaissent pas susceptibles d'apporter d'élément complémentaire probant. En effet, rien n'indique qu'une confrontation permettrait de faire avancer l'instruction, car il y a tout lieu de penser que les parties maintiendraient leur version en audience contradictoire devant le Ministère public. L'audition de la mère biologique du recourant, à supposer qu'elle confirme la version des faits de ce dernier, devrait être retenue avec circonspection, eu égard aux liens les unissant, de sorte que ce témoignage ne saurait ainsi constituer, à lui seul, un élément de preuve à charge suffisant. De même, l'audition du concierge de l'époque ne porterait que sur des faits indirects, comme l'existence de deux étagères – ce qui ressort également des photos versées au dossier par la police – sans nécessairement révéler quoi que ce soit sur la propriété des bien litigieux, ni sur l'existence de la chaîne avec pendentif en or. Finalement, la saisie des objets découverts lors de la perquisition est une mesure impropre à étayer la prévention. Il ressort de ce qui précède que rien ne permet de fonder un soupçon suffisant d'abus de confiance. Partant, c'est à juste titre que le Ministère public n'est pas entré en matière sur les faits dénoncés.</w:t>
      </w:r>
    </w:p>
    <w:p>
      <w:r>
        <w:rPr>
          <w:b/>
        </w:rPr>
        <w:t>E. 4</w:t>
      </w:r>
    </w:p>
    <w:p>
      <w:r>
        <w:t>Justifiée, l'ordonnance querellée sera confirmée.</w:t>
      </w:r>
    </w:p>
    <w:p>
      <w:r>
        <w:t>- 7/9 - P/10856/2022</w:t>
      </w:r>
    </w:p>
    <w:p>
      <w:r>
        <w:rPr>
          <w:b/>
        </w:rPr>
        <w:t>E. 5</w:t>
      </w:r>
    </w:p>
    <w:p>
      <w:r>
        <w:t>Le recourant, qui succombe, supportera les frais envers l'État, qui seront fixés en totalité à CHF 900.- (art. 428 al. 1 CPP et 13 al. 1 du Règlement fixant le tarif des frais en matière pénale, RTFMP; E 4 10.03). * * * * *</w:t>
      </w:r>
    </w:p>
    <w:p>
      <w:r>
        <w:t>- 8/9 - P/10856/2022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