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ACPR/333/2022 vom 28. Januar 2022</w:t>
      </w:r>
    </w:p>
    <w:p>
      <w:r>
        <w:t>GE Cour de justice, 2022-01-28, FR</w:t>
      </w:r>
    </w:p>
    <w:p>
      <w:r>
        <w:rPr>
          <w:b/>
        </w:rPr>
        <w:t xml:space="preserve">Quelle: </w:t>
      </w:r>
      <w:r>
        <w:t>https://mcp.opencaselaw.ch/entscheid/ge_gerichte_ACPR_333_2022</w:t>
      </w:r>
    </w:p>
    <w:p>
      <w:r>
        <w:t>FR: GE_GERICHTE ACPR/333/2022 du 28 janvier 2022</w:t>
      </w:r>
    </w:p>
    <w:p>
      <w:r>
        <w:t>IT: GE_GERICHTE ACPR/333/2022 del 28 gennaio 2022</w:t>
      </w:r>
    </w:p>
    <w:p>
      <w:pPr>
        <w:pStyle w:val="Heading2"/>
      </w:pPr>
      <w:r>
        <w:t>Erwägungen</w:t>
      </w:r>
    </w:p>
    <w:p>
      <w:r>
        <w:rPr>
          <w:b/>
        </w:rPr>
        <w:t>E. 1</w:t>
      </w:r>
    </w:p>
    <w:p>
      <w:r>
        <w:t>Bien que visant deux ordonnances différentes, dans deux procédures différentes, les recours ont été interjetés par la même partie, ont trait au même complexe de faits et visent tous deux ses requêtes du 27 août 2021, de sorte qu’il se justifie de les joindre et la Chambre de céans statuera par un seul et même arrêt.</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3.1</w:t>
      </w:r>
    </w:p>
    <w:p>
      <w:r>
        <w:t>Les recours sont recevables pour avoir été déposés selon la forme et dans le délai prescrits (art. 385 al. 1 et 396 al. 1 CPP), concerner des ordonnances sujettes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3.2</w:t>
      </w:r>
    </w:p>
    <w:p>
      <w:r>
        <w:t>Les pièces nouvelles produites par le plaignant devant la Chambre de céans sont également recevables (arrêt du Tribunal fédéral 1B_368/2014 du 5 février 2015 consid. 3.2 in fine).</w:t>
      </w:r>
    </w:p>
    <w:p>
      <w:r>
        <w:t>- 14/24 - P/11660/2019 et P/2017/2022</w:t>
      </w:r>
    </w:p>
    <w:p>
      <w:r>
        <w:rPr>
          <w:b/>
        </w:rPr>
        <w:t>E. 4</w:t>
      </w:r>
    </w:p>
    <w:p>
      <w:r>
        <w:t>Dès lors que la Chambre de céans jouit d'un plein pouvoir de cognition en droit et en fait (art. 393 al. 2 CPP) (ATF 137 I 195 consid. 2.3.2 p. 197; arrêt du Tribunal fédéral 1B_524/2012 du 15 novembre 2012 consid. 2.1), les éventuelles constatations incomplètes ou inexactes du Ministère public auront été corrigées dans l'état de fait établi ci-devant.</w:t>
      </w:r>
    </w:p>
    <w:p>
      <w:r>
        <w:rPr>
          <w:b/>
        </w:rPr>
        <w:t>E. 5</w:t>
      </w:r>
    </w:p>
    <w:p>
      <w:r>
        <w:t>Le recourant se plaint d'une violation de son droit d'être entendu. 5.1.1. Le droit d'être entendu est garanti aux art. 6 § 1 CEDH, 29 al. 2 Cst. et l'art. 3 al. 2 let. c CPP. Il y a violation de ce droit si l'autorité ne satisfait pas à son devoir minimum d'examiner les problèmes pertinents (ATF 141 V 557 consid. 3.2.1 p. 565 ; ATF 129 I 232 consid. 3.2. p. 236 ; ATF 126 I 97 consid. 2b p. 102 et les références ; arrêt du Tribunal fédéral 6B_28/2011 du 7 avril 2011). L'autorité intimée n'a pas l'obligation d'exposer et de discuter tous les faits, moyens de preuve et griefs invoqués par les parties, mais elle peut au contraire se limiter à ceux qui n'apparaissent pas d'emblée dépourvus de pertinence (ATF 130 II 530 consid. 4.3 p. 540 ; 126 I 97 consid. 2b p. 102 s.). Une autorité se rend toutefois coupable d'un déni de justice formel prohibé par l'art. 29 al. 2 Cst. si elle omet de se prononcer sur des griefs qui présentent une certaine pertinence ou de prendre en considération des allégués et arguments importants pour la décision à prendre (ATF 138 V 125 consid. 2.1 p. 127 ; 133 III 235 consid. 5.2 p. 248 ; 126 I 97 consid. 2b p. 102 ; arrêt du Tribunal fédéral 1B_524/2012 du 15 novembre 2012 consid. 2.1). 5.1.2. Le droit d'être entendu est une garantie constitutionnelle de caractère formel, dont la violation doit entraîner l'annulation de la décision, indépendamment des chances de succès du recours sur le fond (ATF 135 I 187 consid. 2.2 p. 190 ; 122 II 464 consid. 4a p. 469). À titre exceptionnel, une violation du droit d'être entendu, pour autant qu'elle ne soit pas particulièrement grave, peut être considérée comme réparée lorsque la partie concernée a la possibilité de s'exprimer devant une autorité de recours disposant d'un pouvoir d'examen complet quant aux faits et au droit. Par ailleurs, même si la violation du droit d'être entendu est grave, une réparation du vice procédural devant l'autorité de recours est également envisageable si le renvoi à l'autorité inférieure constituerait une vaine formalité. L'allongement inutile de la procédure qui en découlerait est, en effet, incompatible avec l'intérêt de la partie concernée à ce que sa cause soit tranchée dans un délai raisonnable (ATF 137 I 195 consid 2.3.2 p. 197 = SJ 2011 I 347 ; 136 V 117 consid. 4.2.2.2 p. 126/127 ; 133 I 201 consid. 2.2 p. 204).</w:t>
      </w:r>
    </w:p>
    <w:p>
      <w:r>
        <w:rPr>
          <w:b/>
        </w:rPr>
        <w:t>E. 5.2</w:t>
      </w:r>
    </w:p>
    <w:p>
      <w:r>
        <w:t>En l'espèce, le Ministère public a clairement exprimé dans l'ordonnance du 16 décembre 2021, que les éléments mis en évidence par le recourant dans sa requête</w:t>
      </w:r>
    </w:p>
    <w:p>
      <w:r>
        <w:t>- 15/24 - P/11660/2019 et P/2017/2022 de reprise comme étant des "faits et moyens de preuve ne ressortant pas du dossier antérieurs" – à savoir l'ouverture de la P/1______/2020, la tentative de transfert des avoirs à la fin du mois d'octobre 2020 et les nullités de l'acte de divorce et de la convention de liquidation du régime matrimonial du 30 novembre 2018 – n'étaient pas propres à fonder une reprise de la procédure. Cela constitue une motivation suffisante, preuve en est que le recourant a pu faire valoir l'intégralité de ses moyens à l'occasion du présent recours. Il en va de même de la décision du 28 janvier 2022, le Ministère public ayant clairement exposé que les éléments mis en évidence par le recourant, comme étant postérieurs à la décision de classement du 22 juillet 2019, à savoir la tentative de transfert des avoirs à la fin du mois d'octobre 2020, ne justifiaient pas l'ouverture d'une nouvelle instruction pénale. Ces griefs seront rejetés.</w:t>
      </w:r>
    </w:p>
    <w:p>
      <w:r>
        <w:rPr>
          <w:b/>
        </w:rPr>
        <w:t>E. 6</w:t>
      </w:r>
    </w:p>
    <w:p>
      <w:r>
        <w:t>Le recourant estime que le Ministère public aurait dû reprendre la procédure préliminaire dans le cadre de la P/11660/2019, vu les informations transmises par plis des 27 août 2021.</w:t>
      </w:r>
    </w:p>
    <w:p>
      <w:r>
        <w:rPr>
          <w:b/>
        </w:rPr>
        <w:t>E. 6.1</w:t>
      </w:r>
    </w:p>
    <w:p>
      <w:r>
        <w:t>Selon l'art. 323 al. 1 CPP, le ministère public ordonne la reprise d'une procédure préliminaire close par une ordonnance de classement entrée en force s'il a connaissance de nouveaux moyens de preuves ou de faits nouveaux qui remplissent les conditions suivantes : ils révèlent une responsabilité pénale du prévenu (let. a) ; ils ne ressortent pas du dossier antérieur (let. b). Ces deux conditions doivent être cumulativement remplies et supposent que les faits ou les moyens de preuve concernent des événements antérieurs à la décision de classement, soit à la décision sur laquelle l'autorité entend revenir (ATF 141 IV 194 consid. 2.3 p. 197; arrêts du Tribunal fédéral 6B_653/2016 du 30 mars 2017 consid. 2.2.2 et 6B_1015/2013 du 8 avril 2014 consid. 5.1). Cet article vise une sorte de "révision étroite" : seuls deux motifs (applicables de manière cumulative) exhaustivement énumérés dans la loi peuvent ouvrir la révision (Y. JEANNERET / A. KUHN / C. PERRIER DEPEURSINGE [éds], Commentaire romand : Code de procédure pénale suisse, Bâle 2019, n. 1 ad art. 323).</w:t>
      </w:r>
    </w:p>
    <w:p>
      <w:r>
        <w:rPr>
          <w:b/>
        </w:rPr>
        <w:t>E. 6.2</w:t>
      </w:r>
    </w:p>
    <w:p>
      <w:r>
        <w:t>En raison du renvoi de l'art. 310 al. 2 CPP, les conditions pour la reprise de la procédure posées à l'art. 323 al. 1 CPP s'appliquent également à la procédure close par une ordonnance de non-entrée en matière. Dans ce dernier cas, les conditions de la reprise sont cependant moins sévères qu'en cas de reprise après une ordonnance de</w:t>
      </w:r>
    </w:p>
    <w:p>
      <w:r>
        <w:t>- 16/24 - P/11660/2019 et P/2017/2022 classement (ATF 141 IV 194 consid. 2; arrêts du Tribunal fédéral 6B_1135/2016 du 24 novembre 2017 consid. 3.1 et 6B_1015/2013 du 8 avril 2014 consid. 5.1). Quand bien même les exigences pour la reprise de la procédure au sens de l'art. 323 al. 1 CPP sont moindres par rapport à celles prévalant en matière de révision au sens des art. 410 ss CPP, il n'en demeure pas moins que des nouvelles mesures d'instruction doivent alors être justifiées sur la base de nouveaux indices permettant concrètement d'envisager une responsabilité pénale du prévenu (arrêts du Tribunal fédéral 6B_92/2014 du 8 mai 2014 consid. 3.1 et 1B_662/2011 du 26 janvier 2012 consid. 3.1 et les références citées). Il faut en somme que le nouveau moyen de preuve rende vraisemblable une modification de la décision (arrêts du Tribunal fédéral 6B_1135/2016 du 24 novembre 2017 consid. 3.1 et les références citées et 6B_92/2014 du 8 mai 2014 consid. 3.1). Lorsqu'une ordonnance de non-entrée en matière a été rendue en raison de la non- réalisation manifeste des éléments constitutifs de l'infraction ou des conditions à l'ouverture de l'action pénale (art. 310 al. 1 let. a CPP), les faits ou moyens de preuve nouveaux doivent remettre en cause les certitudes que le ministère public devait être à même d'afficher pour rendre une telle décision et, dans le même temps, fonder des soupçons suffisants laissant présumer qu'une infraction a été commise (cf. art. 309 al. 1 let. a CPP; ATF 144 IV 81 consid. 3.2 et les références citées = SJ 2018 I 421; arrêt du Tribunal fédéral 6B_178/2017 du 25 octobre 2017 consid. 2.2.2).</w:t>
      </w:r>
    </w:p>
    <w:p>
      <w:r>
        <w:rPr>
          <w:b/>
        </w:rPr>
        <w:t>E. 6.3</w:t>
      </w:r>
    </w:p>
    <w:p>
      <w:r>
        <w:t>Les moyens de preuves sont nouveaux s'ils étaient inconnus au moment de rendre l'ordonnance de classement ou de non-entrée en matière. Ce qui est décisif est de savoir si des informations pertinentes figuraient déjà au dossier ou non. Les moyens de preuve ne sont pas considérés comme nouveaux s'ils ont été cités, voire administrés, lors de la procédure close, sans être toutefois complètement exploités. En revanche, un fait ou un moyen de preuve sera qualifié de nouveau lorsque le ministère public ne pouvait pas en avoir connaissance dans la procédure antérieure, même en ayant fait montre de la plus grande diligence (ATF 141 IV 194 consid. 2.3). Si le ministère public ou une partie (notamment la partie plaignante) a eu connaissance à l'époque d'un moyen de preuve ou d'un fait important mais ne l'a pas soulevé dans la procédure ayant conduit au classement ou à la non-entrée en matière, le principe de la bonne foi ou l'interdiction de l'abus de droit devrait en règle générale faire obstacle à une reprise de la procédure dans de telles conditions, au détriment du prévenu (FF 2006, p.1258).</w:t>
      </w:r>
    </w:p>
    <w:p>
      <w:r>
        <w:rPr>
          <w:b/>
        </w:rPr>
        <w:t>E. 6.4</w:t>
      </w:r>
    </w:p>
    <w:p>
      <w:r>
        <w:t>En l'espèce, à l'appui de sa plainte complémentaire du 27 août 2021, le recourant a produit une trentaine de pièces qu'il considère comme nouvelles au sens de l'art. 323 al. 1 let. b CPP.</w:t>
      </w:r>
    </w:p>
    <w:p>
      <w:r>
        <w:t>- 17/24 - P/11660/2019 et P/2017/2022 Or, il appert que les pièces 7, 19, 20, 22 et 25 faisaient partie du dossier antérieur. Elles ne constituent dès lors, en aucune manière, des moyens de preuve nouveaux. En outre, rien n'explique que le recourant se soit abstenu de produire les relevés bancaires (pièces 1 et 4) ou encore les échanges avec les banques et la mise en cause (pièces 2, 5, 9, 10 12, 13, 26), dès lors qu'il était vraisemblablement déjà en possession de ces documents au moment du dépôt de sa plainte du 3 juin 2019, vu les dates d'établissement des documents et celles auxquelles lesdits échanges sont intervenus. Les correspondances avec la notaire et l'avocate [espagnoles] (pièces 27 à 32) auraient aussi pu être produites en cours de procédure, dès lors que celles-ci ont eu lieu avant le prononcé de l'ACPR/34/2020. Enfin, le recourant n'explique pas pourquoi il n'a pas cherché à obtenir, avant le dépôt de sa plainte de juin 2019, les certificats médicaux relatifs à son état de santé entre octobre 2017 et septembre 2018 (pièces 8) et qu'il n'a pas, à tout le moins, produit une attestation de son suivi psychiatrique en cours de procédure, dès lors que celui-ci avait débuté le 4 juin 2019, soit le lendemain du dépôt de la plainte (pièces 3 de la requête de reprise). Dans ces conditions, le principe de la bonne foi fait obstacle à une reprise de cette procédure sur la base desdites pièces. Pour le surplus, le recourant fait état, dans sa plainte complémentaire, pour l'écrasante majorité, de faits identiques à ceux déjà évoqués dans la procédure close, dirigée contre la mise en cause, ainsi qu'en attestent les nombreux renvois à celle-ci. Ainsi, il avait déjà exposé avoir remboursé à son épouse diverses dépenses en lien avec sa liaison extra-conjugale (ch. 7 ss de la plainte du 3.06.2019) et avoir effectué, en raison de ses craintes, les changements nécessaires sur ses comptes et le trust afin de ne pas mettre en péril l'avenir économique de sa famille (ch. 13 ss de la plainte du 3.06.2019). Il avait aussi expliqué que le droit musulman, réprimant la trahison, était susceptible de s'appliquer en l'occurrence (pièces 100'002 - 100'003). Il avait aussi déjà évoqué la réunion tenue en son absence à N______ (pièces 310'158 et 310'246). Le recourant avait déjà fait état des circonstances dans lesquelles il avait reçu les documents relatifs à la procédure de divorce de la part de la mise en cause (ch. 20 ss de la plainte du 3.06.2019) et de l'"état de choc" dans lequel il s'était retrouvé à réception de ceux-ci. En outre, il avait déjà suggéré l'implication de l'amant de la mise en cause dans les faits dénoncés (ch. 26 ss de la plainte du 03.06.2019). Le recourant avait déjà affirmé avoir alimenté seul le E______ Trust (ch. 12 ss de la plainte du 3.06.2019). Enfin, le recourant avait déjà fait part au Ministère public du "stratagème" mis en place, selon lui, par la mise en cause, à savoir du lien entre son exclusion du trust et le prononcé du divorce (p. 11 de la plainte du 3.06.2019). Ainsi, il convient de se référer aux décisions prises antérieurement (cf. B.i.c. et B.i.d.) dont les raisonnements restent pertinents et applicables pour les faits et moyens de preuve répétés. En outre, il n'est pas contesté - ni contestable - que le fait nouveau relatif aux dispositions qu'aurait prises l'intimée, en octobre 2020, en vue d'exécuter des</w:t>
      </w:r>
    </w:p>
    <w:p>
      <w:r>
        <w:t>- 18/24 - P/11660/2019 et P/2017/2022 transferts en espèces à destination de banques tierces, est postérieur à la décision de classement. Partant, il ne saurait ouvrir la voie à une reprise de la procédure préliminaire, le juge n'étant pas tenu de connaître (ou d'anticiper) les faits postérieurs à sa décision. Le recourant prétend cependant que ces dispositions concrétisaient une intention déjà existante de l'intimée au moment du dépôt de sa plainte, intention qu'il avait déjà dénoncée. Ces dispositions seraient contraires à leur accord selon lequel les enfants devaient être bénéficiaires du trust du vivant de la mise en cause et qu'il devait réintégrer le cercle des bénéficiaires une fois dissipé le risque lié à l'enquête pénale à K______. Or, rien n'explique que le recourant n'ait pas détaillé précédemment cet accord, ce d'autant plus qu'il avait déjà produit le courriel adressé le 22 juin 2018 par le conseiller H______ à la mise en cause (pièce 14 p. 2 de la plainte complémentaire correspondant à la pièce 24bis de la plainte du 3.06.2019) et qu'il avait déjà reproché au Ministère public, s'agissant de l'infraction d'abus de confiance, de ne pas avoir déterminé "le contenu et la portée des accords en question" (cf. recours du 30 juillet 2019 p. 5). De plus, le recourant était manifestement déjà en possession des autres pièces (pièces 4 et 5 de la requête de reprise ainsi que de la pièce 14 p. 1 de sa plainte complémentaire) dont il se prévaut pour fonder ses accusations, de sorte qu'elles ne sauraient être considérées comme nouvelles. Il en va de même s'agissant du non- respect, par la mise en cause, dudit accord lors de la création du nouveau trust dès lors que le recourant se fonde sur les mêmes pièces. En tout état, même à considérer lesdites pièces comme nouvelles, ou encore que le recourant aurait eu connaissance des modalités de constitution du nouveau trust que récemment, celles-ci ne sauraient révéler de responsabilité pénale de la mise en cause dès lors qu'elles n'établissent pas la teneur de l'accord intervenu entre les parties, tel que le recourant s'en prévaut à présent. Au contraire, il ressort du courriel du 22 juin 2018 que le conseiller H______ avait expressément attiré l'attention de la mise en cause sur la possibilité d'exclure définitivement le recourant du trust, hypothèse envisagée par le recourant lui-même dans sa plainte du 3 juin 2019 (ch. 17). En outre, il apparait que c'est sur initiative de la banque – et non sur instructions du recourant –, que les enfants avaient été ajoutés en qualité de bénéficiaires du vivant de la mise en cause ("we have added your children/grandchildren as Lifetime Beneficiaries in case you ever wished to benefit them during your lifetime"), étant précisé que ces derniers n'étaient pas bénéficiaires de l'ancien trust du vivant de leurs parents (pièce 100'063). Le recourant se prévaut en outre de son implication dans la création du nouveau trust pour en déduire un droit sur les avoirs litigieux. Or, contrairement à ce qu'il soutient à présent, il avait expliqué, à l'appui de sa plainte du 3 juin 2019 (ch. 14) et, en partie, au moyen des mêmes pièces, que, depuis sa sortie du trust le 7 septembre 2017, la mise en cause était seule à communiquer avec les banques, son rôle à lui consistant uniquement à apporter des corrections aux courriels qu'elle avait rédigés en anglais.</w:t>
      </w:r>
    </w:p>
    <w:p>
      <w:r>
        <w:t>- 19/24 - P/11660/2019 et P/2017/2022 Il n'avait pas eu beaucoup d'informations sur la mise en place du nouveau trust en juillet 2018. Les pièces produites corroborent ainsi ses précédentes explications. En effet, bien que le courriel du 25 juin 2018 (pièce 14 de la plainte complémentaire) fasse allusion à une discussion intervenue entre les parties au sujet du projet de nouveau trust, cet élément ne suffit pas pour établir l'existence d'instructions dans la gestion des avoirs litigieux, au sens de l'art. 138 CP. Il en va de même des conseils donnés à la mise en cause sur les frais de gestion du compte. Pour le surplus, en tant que ces conseils seraient intervenus après sa sortie du cercle des bénéficiaires, ceux- ci ne permettent pas non plus de retenir que le recourant aurait conservé des droits sur les avoirs litigieux, en accord avec la mise en cause. Enfin, si le fait qu'il ait lu et approuvé les lettres d'intention permettait de corroborer les explications de la mise en cause et de considérer que cette dernière avait respecté l'accord intervenu entre les parties, en référence aux lettres d'intention, force est de constater que le transfert des avoirs litigieux sur son compte aurait tout de même pu avoir lieu en l'absence de ladite approbation, dès lors que le recourant avait déjà été exclu du trust. Par ailleurs, on peine à comprendre ce que les faits dénoncés par sa fille pourraient apporter comme élément nouveau susceptible de justifier la reprise de la présente procédure. Si l’arrière-plan familial et patrimonial de la P/1______/2020 est identique à celui examiné dans la présente procédure par la Chambre de céans, ni les accusations portées ni les qualités des parties ne sont les mêmes. En outre, contrairement à ce qu'allègue le recourant, seule sa fille subirait un préjudice en lien avec les circonstances dans lesquelles elle aurait signé les lettres d'intention menant à la dissolution du trust et au transfert des avoirs qu’il détenait, dès lors que le recourant ne faisait déjà plus partie du cercle des bénéficiaires. Il n'a ainsi pas d'intérêt juridiquement protégé à s'en plaindre, le fait qu'il n'ait jamais eu l'intention de léser les intérêts de sa fille n'y changeant rien. En tout état, même à considérer ces éléments comme nouveaux, ceux-ci ne seraient pas propres à révéler la responsabilité de la mise en cause dès lors que la tromperie astucieuse dont il se prévaut avait été écartée faute de vérifications de sa part, et non en raison de l'exploitation d'un lien de confiance. Enfin, le recourant avait déjà évoqué l'invalidité formelle du divorce [espagnol] dans le cadre de son recours du 30 juillet 2019 dès lors que B______ aurait menti sur son domicile afin de créer artificiellement un for en Espagne (cf. recours du 30 juillet 2019 p. 4). À cette occasion, il avait lui-même admis que seul importait, sur le plan pénal, le fait que la convention ne prévoyait pas le partage des avoirs issus du E______ Trust. Ainsi, l'élément nouvellement apporté, à savoir le jugement rendu le 5 juillet 2021 à L______, dès lors qu'il ne se rapporte pas à la volonté des parties, ne modifie pas l'apparence d'un litige relevant plutôt des juridictions civiles, étant rappelé que l'instruction pénale n'a pas pour vocation de préparer les voies civiles ni de les éluder. En tout état, le recourant avait déjà allégué que les conventions de divorce ne correspondaient pas à la volonté des parties, selon laquelle seule la somme d'EUR 2'500'000.- devait revenir à son épouse. L'on peine d'ailleurs à le</w:t>
      </w:r>
    </w:p>
    <w:p>
      <w:r>
        <w:t>- 20/24 - P/11660/2019 et P/2017/2022 suivre lorsqu'il accuse la mise en cause d'avoir violé leur accord prévu par la convention de liquidation du régime matrimonial – dès lors que leurs enfants ne deviendraient bénéficiaires des 40% du capital de F______ LTD qu'après le décès de la mise en cause –, alors qu'il soutient simultanément que ladite convention ne reflète pas la volonté des parties. Enfin, le recourant soutient qu'en raison de la nullité du jugement de divorce, les avoirs litigieux seraient régis pas le droit espagnol, ce qui impliquerait qu'ils soient considérés comme ayant été automatiquement confiés à la mise en cause. Or, rien au dossier ne permet de corroborer ces affirmations péremptoires. Au contraire, il ressort des documents figurant à la procédure que les parties se sont mariées à Genève sans conclure de contrat de mariage (pièce 33, traduction de la convention sur la liquidation des acquêts, p.1) de sorte que l'on ne saurait retenir d'office l'application du droit espagnol au régime matrimonial des époux. Ainsi, en l'état du dossier, il n'apparait pas que les avoirs litigieux seraient des biens communs soumis au droit espagnol. Au vu des considérations qui précèdent, le Ministère public pouvait à juste titre considérer que les conditions de l'art. 323 CPP n'étaient pas réalisées et refuser dès lors de reprendre la procédure préliminaire.</w:t>
      </w:r>
    </w:p>
    <w:p>
      <w:r>
        <w:rPr>
          <w:b/>
        </w:rPr>
        <w:t>E. 7</w:t>
      </w:r>
    </w:p>
    <w:p>
      <w:r>
        <w:t>Le recourant soutient que les dispositions prises en octobre 2020 par la mise en cause, en vue du transfert des avoirs litigieux à destination de banques tierces, seraient constitutives de tentative d'abus de confiance.</w:t>
      </w:r>
    </w:p>
    <w:p>
      <w:r>
        <w:rPr>
          <w:b/>
        </w:rPr>
        <w:t>E. 7.1</w:t>
      </w:r>
    </w:p>
    <w:p>
      <w:r>
        <w:t>Selon l'art. 310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Le ministère public doit être certain que les faits ne sont pas punissables (ATF 137 IV 285 consid. 2.3 p. 287 et les références citées). Le principe "in dubio pro duriore" découle du principe de la légalité (art. 5 al. 1 Cst. et 2 al. 2 CPP en relation avec les art. 19 al. 1 et 324 CPP; ATF 138 IV 86 consid. 4.2 p. 91; arrêt du Tribunal fédéral 6B_185/2016 du 30 novembre 2016 consid. 2.1.2 et les références). Il signifie qu'en principe, un classement ou une non- 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143 IV 241 consid. 2.2.1 p. 243; ATF 138 IV 86 consid. 4.1.2 p. 91; ATF 137 IV 285 consid. 2.5 p. 288; arrêts du Tribunal fédéral 6B_417/2017 du 10 janvier 2018 consid. 2.1.2;</w:t>
      </w:r>
    </w:p>
    <w:p>
      <w:r>
        <w:t>- 21/24 - P/11660/2019 et P/2017/2022 6B_185/2016 du 30 novembre 2016 consid. 2.1.2 et les références). En cas de doute, il appartient donc au juge matériellement compétent de se prononcer (arrêt du Tribunal fédéral 6B_185/2016 du 20 novembre 2016 consid. 2.1.2 et les références).</w:t>
      </w:r>
    </w:p>
    <w:p>
      <w:r>
        <w:rPr>
          <w:b/>
        </w:rPr>
        <w:t>E. 7.2</w:t>
      </w:r>
    </w:p>
    <w:p>
      <w:r>
        <w:t>Des motifs de fait peuvent justifier la non-entrée en matière. Il s'agit des cas où la preuve d'une infraction, soit de la réalisation en fait de ses éléments constitutifs, n'est pas apportée par les pièces dont dispose le ministère public. Il faut que l'insuffisance de charges soit manifeste. De plus, le procureur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En cas de doute sur la possibilité d'apporter ultérieurement la preuve des faits en question, la non-entrée en matière est exclue (A. KUHN / Y. JEANNERET / C. PERRIER DEPEURSINGE (éds), Commentaire romand : Code de procédure pénale suisse, Bâle 2019, n. 9 ad art. 310)</w:t>
      </w:r>
    </w:p>
    <w:p>
      <w:r>
        <w:rPr>
          <w:b/>
        </w:rPr>
        <w:t>E. 7.3</w:t>
      </w:r>
    </w:p>
    <w:p>
      <w:r>
        <w:t>Selon l'art. 138 ch. 1 al. 1 CP, commet un abus de confiance celui qui, pour se procurer ou procurer à un tiers un enrichissement illégitime, se sera approprié une chose mobilière appartenant à autrui et qui lui avait été confiée. Sur le plan objectif, cette infraction suppose la réalisation de trois conditions, à savoir l'existence d'une chose mobilière, que cette chose ait été confiée à l'auteur et que ce dernier se soit approprié la chose en violation du rapport de confiance (ATF 120 IV 276 consid. 2 p. 278). Une chose est confiée au sens de cette disposition lorsqu'elle est remise ou laissée à l'auteur pour qu'il l'utilise de manière déterminée dans l'intérêt d'autrui, en particulier pour la garder, l'administrer, la livrer ou la vendre selon des instructions qui peuvent être expresses ou tacites (ATF 120 IV 117 consid. 2b p. 115; 118 IV 32 consid. 2a p. 33). L'appropriation implique que l'auteur veut, d'une part, la dépossession durable du propriétaire et, d'autre part, qu'il entend s'attribuer la chose, au moins pour un temps ; cette volonté doit se manifester par des signes extérieurs : l'auteur doit se comporter d'une manière qui montre qu'il incorpore la chose à son patrimoine, que ce soit pour la conserver, la consommer ou l'aliéner, et se considère comme propriétaire, sans pour autant en avoir la qualité (ATF 121 IV 23 consid. 1c p. 25; 118 IV 148 consid. 2a p. 151et les arrêts cités), et ce, dans un dessein d'enrichissement illégitime (ATF 133 IV 21 consid. 6.1.2 p.27; arrêt du Tribunal fédéral 6B_61/2015 du 14 mars 2016 consid. 4.1). Du point de vue subjectif, l'auteur doit agir intentionnellement, avec le dessein de se procurer ou de procurer à un tiers un enrichissement illégitime, qui peut être réalisé</w:t>
      </w:r>
    </w:p>
    <w:p>
      <w:r>
        <w:t>- 22/24 - P/11660/2019 et P/2017/2022 par dol éventuel (ATF 118 IV 32 consid. 2a ; ACPR/33/2017 du 27 janvier 2017 consid. 4.1).</w:t>
      </w:r>
    </w:p>
    <w:p>
      <w:r>
        <w:rPr>
          <w:b/>
        </w:rPr>
        <w:t>E. 7.4</w:t>
      </w:r>
    </w:p>
    <w:p>
      <w:r>
        <w:t>En l'occurrence, il ressort des considérations qui précèdent (cf. 6.4.) que les éléments nouvellement produits par le recourant à l'appui de sa plainte complémentaire, respectivement de sa requête de reprise, lesquels se réfèrent à des évènements antérieurs à la décision de classement dans le cadre de la P/11660/2019, ne permettaient pas de révéler la responsabilité pénale de la mise en cause, faute de pouvoir considérer les avoirs litigieux comme des valeurs patrimoniales "confiées" au sens de l'art. 138 CP. Partant, même si la mise en cause avait pris des dispositions en vue du transfert des avoirs litigieux à destination de banques tierces en octobre 2020, celles-ci ne peuvent être considérées comme constitutives d'une tentative d'abus de confiance.</w:t>
      </w:r>
    </w:p>
    <w:p>
      <w:r>
        <w:rPr>
          <w:b/>
        </w:rPr>
        <w:t>E. 8</w:t>
      </w:r>
    </w:p>
    <w:p>
      <w:r>
        <w:t>Justifiées, les ordonnances querellées seront donc confirmées.</w:t>
      </w:r>
    </w:p>
    <w:p>
      <w:r>
        <w:rPr>
          <w:b/>
        </w:rPr>
        <w:t>E. 9</w:t>
      </w:r>
    </w:p>
    <w:p>
      <w:r>
        <w:t>Le recourant, qui succombe dans ses deux recours, supportera les frais envers l'État, fixés en totalité à CHF 2'500.- (art. 428 al. 1 CPP et 13 al. 1 du Règlement fixant le tarif des frais en matière pénale, RTFMP ; E 4 10.03). * * * * *</w:t>
      </w:r>
    </w:p>
    <w:p>
      <w:r>
        <w:t>- 23/24 - P/11660/2019 et P/2017/2022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