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ACPR/333/2020 vom 22. April 2020</w:t>
      </w:r>
    </w:p>
    <w:p>
      <w:r>
        <w:t>GE Cour de justice, 2020-04-22, FR</w:t>
      </w:r>
    </w:p>
    <w:p>
      <w:r>
        <w:rPr>
          <w:b/>
        </w:rPr>
        <w:t xml:space="preserve">Quelle: </w:t>
      </w:r>
      <w:r>
        <w:t>https://mcp.opencaselaw.ch/entscheid/ge_gerichte_ACPR_333_2020</w:t>
      </w:r>
    </w:p>
    <w:p>
      <w:r>
        <w:t>FR: GE_GERICHTE ACPR/333/2020 du 22 avril 2020</w:t>
      </w:r>
    </w:p>
    <w:p>
      <w:r>
        <w:t>IT: GE_GERICHTE ACPR/333/2020 del 22 aprile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90 al. 2, 385 al. 1 et 396 al. 1 CPP), concerner une ordonnance sujette à recours auprès de la Chambre de céans (art. 222 et 393 al. 1 let. c CPP) et émaner du prévenu qui, partie à la procédure (art. 104 al. 1 let. a CPP), a qualité pour agir, ayant un intérêt juridiquement protégé à la modification ou à l'annulation de la décision querellée (art. 382 al. 1 CPP).</w:t>
      </w:r>
    </w:p>
    <w:p>
      <w:r>
        <w:rPr>
          <w:b/>
        </w:rPr>
        <w:t>E. 2</w:t>
      </w:r>
    </w:p>
    <w:p>
      <w:r>
        <w:t>Dans sa réplique, le recourant conclut à ce que Chambre de céans constate la violation de son droit d'être entendu. Ce faisant, il prend des conclusions nouvelles, qui sont irrecevables, sauf à accorder à l'intéressé une prolongation du délai de recours, ce que la loi ne permet pas (art. 396 al. 1 et 89 al. 1 CPP). Il est, en effet, communément admis en procédure que la motivation d'un recours doit être entièrement contenue dans l'acte de recours lui- même ; elle ne saurait dès lors être complétée ou corrigée ultérieurement (ATF 134 II 244 consid. 2.4.2 et 2.4.3 p. 247; arrêt du Tribunal fédéral 4A_659/2011 du</w:t>
      </w:r>
    </w:p>
    <w:p>
      <w:r>
        <w:rPr>
          <w:b/>
        </w:rPr>
        <w:t>E. 7</w:t>
      </w:r>
    </w:p>
    <w:p>
      <w:r>
        <w:t>Le recourant, qui succombe, supportera les frais envers l'État, arrêtés à CHF 900.- (art. 428 al. 1 CPP et 13 al. 1 du Règlement fixant le tarif des frais en matière pénale, RTFMP ; E 4 10.03).</w:t>
      </w:r>
    </w:p>
    <w:p>
      <w:r>
        <w:rPr>
          <w:b/>
        </w:rPr>
        <w:t>E. 8</w:t>
      </w:r>
    </w:p>
    <w:p>
      <w:r>
        <w:t>La procédure n'étant pas terminée, il n'y a pas lieu d'indemniser, à ce stade, le défenseur d'office (art. 135 al. 2 CPP). * * * * *</w:t>
      </w:r>
    </w:p>
    <w:p>
      <w:r>
        <w:t>- 13/14 - P/15847/2019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