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ACPR/332/2021 vom 29. Januar 2021</w:t>
      </w:r>
    </w:p>
    <w:p>
      <w:r>
        <w:t>GE Cour de justice, 2021-01-29, FR</w:t>
      </w:r>
    </w:p>
    <w:p>
      <w:r>
        <w:rPr>
          <w:b/>
        </w:rPr>
        <w:t xml:space="preserve">Quelle: </w:t>
      </w:r>
      <w:r>
        <w:t>https://mcp.opencaselaw.ch/entscheid/ge_gerichte_ACPR_332_2021</w:t>
      </w:r>
    </w:p>
    <w:p>
      <w:r>
        <w:t>FR: GE_GERICHTE ACPR/332/2021 du 29 janvier 2021</w:t>
      </w:r>
    </w:p>
    <w:p>
      <w:r>
        <w:t>IT: GE_GERICHTE ACPR/332/2021 del 29 gennaio 2021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fait grief au Ministère public d'avoir constaté les faits de manière incomplète, commis un déni de justice et violé son droit d'être entendue.</w:t>
      </w:r>
    </w:p>
    <w:p>
      <w:r>
        <w:rPr>
          <w:b/>
        </w:rPr>
        <w:t>E. 3.1</w:t>
      </w:r>
    </w:p>
    <w:p>
      <w:r>
        <w:t>Aux termes de l'art. 393 al. 2 let. b CPP, le recours peut être formé pour constatation incomplète ou erronée des faits.</w:t>
      </w:r>
    </w:p>
    <w:p>
      <w:r>
        <w:t>Une constatation est incomplète lorsque des faits pertinents ne figurent pas au dossier. La constatation est erronée (ou inexacte) lorsqu'elle est contredite par une pièce probante du dossier ou lorsque le juge chargé du recours ne peut déterminer comment le droit a été appliqué (Y. JEANNERET / A. KUHN / C. PERRIER DEPEURSINGE (éds), Commentaire romand : Code de procédure pénale suisse, 2ème éd., Bâle 2019, n. 17 ad art. 393 ; ACPR/609/2015 du 11 novembre 2015 consid. 3.1.1).</w:t>
      </w:r>
    </w:p>
    <w:p>
      <w:r>
        <w:rPr>
          <w:b/>
        </w:rPr>
        <w:t>E. 3.2</w:t>
      </w:r>
    </w:p>
    <w:p>
      <w:r>
        <w:t>Selon la jurisprudence, l'autorité qui ne traite pas un grief relevant de sa compétence, motivé de façon suffisante et pertinent pour l'issue du litige, commet un déni de justice formel proscrit par l'art. 29 al. 1 Cst. (ATF 135 I 6 consid. 2.1; arrêt du Tribunal fédéral 6B_583/2015 du 29 octobre 2015, consid. 3.3). De même, la jurisprudence a déduit du droit d'être entendu ancré à l'art. 29 al. 2 Cst féd. l'obligation pour l'autorité de motiver sa décision, afin que l'intéressé puisse se rendre compte de la portée de celle-ci et exercer son droit de recours à bon escient (arrêt du Tribunal fédéral 1B_539/2019 du 19 mars 2020 consid. 3.1 et les références citées). Une violation de ces droits peut toutefois être réparée. En effet, le Tribunal fédéral admet la guérison - devant l'autorité supérieure qui dispose d'un plein pouvoir d'examen - de l'absence de motivation, pour autant que l'autorité intimée ait justifié et expliqué sa décision dans un mémoire de réponse et que le recourant ait eu la possibilité de s'exprimer sur ces points dans une écriture complémentaire; il ne doit toutefois en résulter aucun préjudice pour ce dernier (ATF 125 I 209 consid. 9a et</w:t>
      </w:r>
    </w:p>
    <w:p>
      <w:r>
        <w:t>- 5/9 - P/2033/2021 107 Ia 1 consid. 1; arrêt du Tribunal pénal fédéral R.R.2019.70 du 3 septembre 2019, consid. 3.1 in fine). La Haute Cour admet également la réparation d'une violation du droit d'être entendu, y compris en présence d'un vice grave, lorsqu'un renvoi à l'instance inférieure constituerait une vaine formalité, respectivement aboutirait à un allongement inutile de la procédure, incompatible avec l'intérêt de la partie concernée à ce que sa cause soit tranchée dans un délai raisonnable (ATF 145 I 167 consid. 4.4; arrêt du Tribunal fédéral 1B_539/2019 précité).</w:t>
      </w:r>
    </w:p>
    <w:p>
      <w:r>
        <w:rPr>
          <w:b/>
        </w:rPr>
        <w:t>E. 3.3</w:t>
      </w:r>
    </w:p>
    <w:p>
      <w:r>
        <w:t>En l'espèce, la recourante se plaint que l'ordonnance querellée n'ait traité qu'une partie des formulations litigieuses contenues dans les lettres des 16 et 26 novembre 2020. Il ressort toutefois de la décision, de manière certes succincte mais suffisante, que l'éventuel caractère attentatoire à son honneur des propos dénoncés par la recourante a été rejeté par le Ministère public, sans qu'il ne soit nécessaire qu'il liste chacune des affirmations litigieuses, étant précisé qu'elles concernent toutes l'existence – ou non – de nuisances sonores le soir du 11 novembre 2020. Quoi qu'il en soit, la Chambre de céans jouissant d'un plein pouvoir de cognition en droit et en fait (art. 393 al. 2 CPP) (ATF 137 I 195 consid. 2.3.2; arrêt du Tribunal fédéral 1B_524/2012 du 15 novembre 2012 consid. 2.1.), les éventuelles constatations incomplètes ou inexactes du Ministère public auront été corrigées dans l'état de fait établi ci-devant. Ainsi, même à retenir une violation de l'art. 29 Cst, celle-ci aurait été réparée durant la procédure de recours, la recourante ayant pu s'exprimer de manière complète et faire valoir ses arguments devant la Chambre de céans. Ce grief sera dès lors rejeté.</w:t>
      </w:r>
    </w:p>
    <w:p>
      <w:r>
        <w:rPr>
          <w:b/>
        </w:rPr>
        <w:t>E. 4</w:t>
      </w:r>
    </w:p>
    <w:p>
      <w:r>
        <w:t>La recourante reproche au Ministère public de ne pas être entré en matière sur sa plainte pénale.</w:t>
      </w:r>
    </w:p>
    <w:p>
      <w:r>
        <w:rPr>
          <w:b/>
        </w:rPr>
        <w:t>E. 4.1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in dubio pro duriore. Celui-ci découle du principe de la légalité (art. 5 al. 1 Cst. et art. 2 al. 2 CPP en relation avec les art. 319 al. 1 et 324 al. 1 CPP)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p. 69). Le ministère public dispose, dans ce cadre, d'un pouvoir d'appréciation. La procédure doit se poursuivre lorsqu'une condamnation apparaît plus vraisemblable qu'un acquittement ou lorsque</w:t>
      </w:r>
    </w:p>
    <w:p>
      <w:r>
        <w:t>- 6/9 - P/2033/2021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 138 IV 86 consid. 4.1.2 p. 91 et les références citées).</w:t>
      </w:r>
    </w:p>
    <w:p>
      <w:r>
        <w:rPr>
          <w:b/>
        </w:rPr>
        <w:t>E. 4.2</w:t>
      </w:r>
    </w:p>
    <w:p>
      <w:r>
        <w:t>Se rend coupable de diffamation au sens de l'art. 173 CP celui qui, en s'adressant à un tiers, aura accusé une personne ou jeté sur elle le soupçon de tenir une conduite contraire à l'honneur ou de tout autre fait propre à porter atteinte à sa considération et celui qui aura propagé une telle accusation ou un tel soupçon (ch. 1).</w:t>
      </w:r>
    </w:p>
    <w:p>
      <w:r>
        <w:rPr>
          <w:b/>
        </w:rPr>
        <w:t>E. 4.3</w:t>
      </w:r>
    </w:p>
    <w:p>
      <w:r>
        <w:t>Se rend coupable de calomnie au sens de l'art. 174 ch. 1 CP celui qui, connaissant la fausseté de ses allégations, aura, en s'adressant à un tiers, accusé une personne ou jeté sur elle le soupçon de tenir une conduite contraire à l'honneur, ou de tout autre fait propre à porter atteinte à sa considération.</w:t>
      </w:r>
    </w:p>
    <w:p>
      <w:r>
        <w:rPr>
          <w:b/>
        </w:rPr>
        <w:t>E. 4.4</w:t>
      </w:r>
    </w:p>
    <w:p>
      <w:r>
        <w:t>L'honneur protégé par le droit pénal est conçu de façon générale comme un droit au respect, qui est lésé par toute assertion propre à exposer la personne visée au mépris en sa qualité d'homme (ATF 137 IV 313 consid. 2.1.1 p. 315; 132 IV 112 consid. 2.1 p. 115). Pour apprécier si une déclaration est attentatoire à l'honneur, il faut procéder à une interprétation objective selon le sens que le destinataire non prévenu devait, dans les circonstances d'espèce, lui attribuer (ATF 137 IV 313 consid. 2.1.3 p. 315 s.). Les mêmes termes n'ont donc pas nécessairement la même portée suivant le contexte dans lequel ils sont employés (ATF 118 IV 248 consid. 2b p. 251; 105 IV 196 consid. 2 p. 195 s.). Selon la jurisprudence, un texte doit être analysé non seulement en fonction des expressions utilisées, prises séparément, mais aussi selon le sens général qui se dégage du texte dans son ensemble (ATF 137 IV 313 consid. 2.1.3 p. 315 s. et les références citées).</w:t>
      </w:r>
    </w:p>
    <w:p>
      <w:r>
        <w:rPr>
          <w:b/>
        </w:rPr>
        <w:t>E. 4.5</w:t>
      </w:r>
    </w:p>
    <w:p>
      <w:r>
        <w:t>En l'espèce, la recourante reproche au mis en cause d'avoir dit à leur régie immobilière que ses accusations étaient "mensongères" et d'avoir, par la plume de son conseil, écrit qu'elle devait "cesser […] de s'inventer des nuisances qui n'exist[aient] que dans son esprit". Force est de constater que ces affirmations ne sont pas, en soi, propres à faire apparaître la recourante comme une personne méprisable. Il ressort du dossier que les parties étaient en conflit au sujet de nuisances sonores que la recourante soutenait subir de la part du mis en cause, cette dernière ayant même requis la résiliation du contrat de son bail en raison de celles-ci. Les termes litigieux ont été formulés en réponse aux accusations de la recourante et visaient ainsi, d'évidence, non à porter atteinte à la probité de la recourante ou à contester ses</w:t>
      </w:r>
    </w:p>
    <w:p>
      <w:r>
        <w:t>- 7/9 - P/2033/2021 qualités d'être humain, mais à nier l'existence de telles nuisances ("propos mensongers") et faire cesser les plaintes de cette dernière à cet égard, afin de protéger le contrat de bail du mis en cause. L'expression selon laquelle les prétendues nuisances n'existaient que "dans son esprit" ne mettait pas en doute la santé mentale de la recourante, mais la réalité des bruits dont celle-ci attribuait l'origine au mis en cause. Ainsi, les propos litigieux n'étant pas attentatoires à l'honneur, le Ministère public était fondé à refuser d'entrer en matière sur la plainte pénale de la recourante. Justifiée, l'ordonnance querellée sera donc confirmée.</w:t>
      </w:r>
    </w:p>
    <w:p>
      <w:r>
        <w:rPr>
          <w:b/>
        </w:rPr>
        <w:t>E. 5</w:t>
      </w:r>
    </w:p>
    <w:p>
      <w:r>
        <w:t>La recourante, qui succombe, supportera les frais envers l'État, fixés en totalité à CHF 800.- (art. 428 al. 1 CPP et 13 al. 1 du Règlement fixant le tarif des frais en matière pénale, RTFMP ; E 4 10.03). * * * * *</w:t>
      </w:r>
    </w:p>
    <w:p>
      <w:r>
        <w:t>- 8/9 - P/2033/2021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