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ACPR/331/2025 vom 5. Mai 2025</w:t>
      </w:r>
    </w:p>
    <w:p>
      <w:r>
        <w:t>GE Cour de justice, 2025-05-05, FR</w:t>
      </w:r>
    </w:p>
    <w:p>
      <w:r>
        <w:rPr>
          <w:b/>
        </w:rPr>
        <w:t xml:space="preserve">Quelle: </w:t>
      </w:r>
      <w:r>
        <w:t>https://mcp.opencaselaw.ch/entscheid/ge_gerichte_ACPR_331_2025</w:t>
      </w:r>
    </w:p>
    <w:p>
      <w:r>
        <w:t>FR: GE_GERICHTE ACPR/331/2025 du 5 mai 2025</w:t>
      </w:r>
    </w:p>
    <w:p>
      <w:r>
        <w:t>IT: GE_GERICHTE ACPR/331/2025 del 5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t>- 4/7 - P/6961/2025</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Tout d'abord, il a déjà été condamné pour infraction à l'art. 19 al. 1 let. b LStup, le 27 septembre 2019, par le Ministère public. Dans la procédure P/2______/2025 en cours, à laquelle la présente procédure devrait être jointe, il est soupçonné d'une infraction similaire pour s'être adonné à la vente de marijuana. Que l'intéressé réfute ces accusations n'est ainsi pas suffisant pour annihiler tout soupçon à son égard en l'état. Ensuite, ses antécédents, auxquels s'ajoute sa situation personnelle – absence de domicile fixe et d'activité professionnelle –, laissent craindre qu'il pourrait désormais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Il s'agit d'ailleurs d'un des cas expressément listés par la Directive A.5 du Procureur général (cf. n. 4.3) qui justifie l'établissement d'un profil d'ADN pour les infractions passées. L'arrêt de la Chambre de céans cité par le recourant – annulant une décision du Ministère public ordonnant l'établissement d'un profil d'ADN – ne saurait être transposé ici, en tant que le prévenu, dans cette affaire, n'avait été condamné qu'à des peines pécuniaires en lien notamment avec les stupéfiants, dont la plus récente en la matière remontait à janvier 2017, soit à plus de sept ans; par ailleurs, la procédure en cours le visant était seulement circonscrite à la LEI, l’absorption d’un parachute de stupéfiants n’ayant pas été retenue. Tel n'est pas le cas ici, le recourant étant également soupçonné, dans la P/2______/2024 qui sera jointe à la présente procédure, d'infraction à la LStup.</w:t>
      </w:r>
    </w:p>
    <w:p>
      <w:r>
        <w:t>- 5/7 - P/6961/2025 Partant, la mesure querellée n'apparaît pas inutile ou disproportionnée. Que son coût soit éventuellement mis à la charge du recourant – ce qui n'est pas évident à ce stade, dès lors que cette question ne se posera qu'à l'issue de la procédure et à la condition que l'intéressé soit condamné – n'est donc pas pertinent.</w:t>
      </w:r>
    </w:p>
    <w:p>
      <w:r>
        <w:rPr>
          <w:b/>
        </w:rPr>
        <w:t>E. 3</w:t>
      </w:r>
    </w:p>
    <w:p>
      <w:r>
        <w:t>Justifiée, l'ordonnance attaquée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500.- (art. 428 al. 1 CPP et 13 al. 1 du Règlement fixant le tarif des frais en matière pénale, RTFMP; E 4 10.03).</w:t>
      </w:r>
    </w:p>
    <w:p>
      <w:r>
        <w:rPr>
          <w:b/>
        </w:rPr>
        <w:t>E. 5</w:t>
      </w:r>
    </w:p>
    <w:p>
      <w:r>
        <w:t>Corrélativement, aucun dépens ne lui est dû. * * * * *</w:t>
      </w:r>
    </w:p>
    <w:p>
      <w:r>
        <w:t>- 6/7 - P/6961/2025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