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ACPR/331/2023 vom 6. Februar 2023</w:t>
      </w:r>
    </w:p>
    <w:p>
      <w:r>
        <w:t>GE Cour de justice, 2023-02-06, FR</w:t>
      </w:r>
    </w:p>
    <w:p>
      <w:r>
        <w:rPr>
          <w:b/>
        </w:rPr>
        <w:t xml:space="preserve">Quelle: </w:t>
      </w:r>
      <w:r>
        <w:t>https://mcp.opencaselaw.ch/entscheid/ge_gerichte_ACPR_331_2023</w:t>
      </w:r>
    </w:p>
    <w:p>
      <w:r>
        <w:t>FR: GE_GERICHTE ACPR/331/2023 du 6 février 2023</w:t>
      </w:r>
    </w:p>
    <w:p>
      <w:r>
        <w:t>IT: GE_GERICHTE ACPR/331/2023 del 6 febbraio 2023</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La recourante reproche au Ministère public de ne pas être entré en matière sur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 ATF 137 IV 285 consid. 2.5 ; arrêts du Tribunal fédéral 6B_417/2017 du 10 janvier 2018 consid. 2.1.2 ; 6B_185/2016 du 30 novembre 2016 consid. 2.1.2 et les références). En cas de doute, il appartient donc</w:t>
      </w:r>
    </w:p>
    <w:p>
      <w:r>
        <w:t>- 5/8 - P/27158/2022 au juge matériellement compétent de se prononcer (arrêt du Tribunal fédéral 6B_185/2016 du 20 novembre 2016 consid. 2.1.2 et les références). 2.2.1. L'art. 137 CP punit celui qui, pour se procurer ou procurer à un tiers un enrichissement illégitime, s'approprie une chose mobilière appartenant à autrui. 2.2.2. Selon l'art. 138 ch. 1 al. 1 CP, commet un abus de confiance celui qui, pour se procurer ou procurer à un tiers un enrichissement illégitime, se sera approprié une chose mobilière appartenant à autrui et qui lui avait été confiée. Ces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 ATF 118 IV 148 = JdT 1994 IV 105). À cet égard, le seul fait de continuer d'utiliser le véhicule à l'échéance du contrat de leasing ne constitue pas nécessairement un abus de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2.2.3. 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2e éd., Bâle 2017, n. 8 ad art.139). La notion de soustraction de l'art. 141 CP comprend également l'hypothèse de la dissimulation de la chose mobilière (M. DUPUIS / L. MOREILLON / C. PIGUET / S. BERGER / M. MAZOU / V. RODIGARI (éds), op. cit., n. 5, ad art.141). Le Tribunal fédéral a précisé que la violation d'une simple obligation contractuelle de restituer une chose ne constituait pas un acte de soustraction, à moins que l'auteur ne cache ou ne retienne la chose de façon à empêcher le lésé de la récupérer (M. DUPUIS / L. MOREILLON / C. PIGUET / S. BERGER / M. MAZOU / V. RODIGARI (éds), op. cit., n. 7, ad art.141).</w:t>
      </w:r>
    </w:p>
    <w:p>
      <w:r>
        <w:t>- 6/8 - P/27158/2022</w:t>
      </w:r>
    </w:p>
    <w:p>
      <w:r>
        <w:rPr>
          <w:b/>
        </w:rPr>
        <w:t>E. 2.3</w:t>
      </w:r>
    </w:p>
    <w:p>
      <w:r>
        <w:t>En l'occurrence, l'autorité intimée soutient que la recourante n'a pas rendu vraisemblable un acte d'appropriation effectif, ce que justifierait une non-entrée en matière sans transmission préalable de la plainte à la police. Il n'est pas contesté que le véhicule litigieux est demeuré propriété de la précitée. Néanmoins, il ressort de la plainte pénale que le mis en cause a refusé de collaborer et de révéler où se trouvait le véhicule qui n'a, à ce jour, pas pu être localisé. La recourante ne peut donc pas le récupérer. De plus, le véhicule objet de la plainte n'est plus assuré depuis le</w:t>
      </w:r>
    </w:p>
    <w:p>
      <w:r>
        <w:rPr>
          <w:b/>
        </w:rPr>
        <w:t>E. 5</w:t>
      </w:r>
    </w:p>
    <w:p>
      <w:r>
        <w:t>La recourante, partie plaignante qui obtient gain de cause, a droit à une indemnité pour ses frais de défense, à la charge de l'État (art. 433 al. 1 let. a cum 436 al. 1 CPP ; ACPR/675/2020 du 24 septembre 2020 consid. 6.2 et les arrêts cités). Elle conclut à ce titre au versement d'une indemnité de CHF 3'053.30 (TVA à 7.7% et débours à 5% inclus), correspondant à six heures d'activité au tarif horaire de CHF 450.-. Compte tenu de l'ampleur des écritures (recours de onze pages, dont une de garde, une de conclusions et cinq de développements juridiques; une réplique de quatre pages) et du dossier, qui ne présente pas de difficultés particulières, il se justifie de lui allouer, au titre de l'exercice raisonnable de ses droits de procédure, à charge de l'État, une indemnité de CHF 1'938.60, TVA de 7.7 % incluse, correspondant à</w:t>
      </w:r>
    </w:p>
    <w:p>
      <w:r>
        <w:t>- 7/8 - P/27158/2022 quatre heures d'activité au tarif horaire de CHF 450.-. Les débours de 5%, faute d'être justifiés, ne sauraient quant à eux être pris en considération et seront écartés. * * * * *</w:t>
      </w:r>
    </w:p>
    <w:p>
      <w:r>
        <w:t>- 8/8 - P/27158/2022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