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ACPR/331/2021 vom 16. März 2021</w:t>
      </w:r>
    </w:p>
    <w:p>
      <w:r>
        <w:t>GE Cour de justice, 2021-03-16, FR</w:t>
      </w:r>
    </w:p>
    <w:p>
      <w:r>
        <w:rPr>
          <w:b/>
        </w:rPr>
        <w:t xml:space="preserve">Quelle: </w:t>
      </w:r>
      <w:r>
        <w:t>https://mcp.opencaselaw.ch/entscheid/ge_gerichte_ACPR_331_2021</w:t>
      </w:r>
    </w:p>
    <w:p>
      <w:r>
        <w:t>FR: GE_GERICHTE ACPR/331/2021 du 16 mars 2021</w:t>
      </w:r>
    </w:p>
    <w:p>
      <w:r>
        <w:t>IT: GE_GERICHTE ACPR/331/2021 del 16 marzo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Le recourant estime réunir les conditions d'une défense d'office au sens de l'art. 132 CPP.</w:t>
      </w:r>
    </w:p>
    <w:p>
      <w:r>
        <w:t>- 6/8 - P/18207/2020</w:t>
      </w:r>
    </w:p>
    <w:p>
      <w:r>
        <w:rPr>
          <w:b/>
        </w:rPr>
        <w:t>E. 4.1</w:t>
      </w:r>
    </w:p>
    <w:p>
      <w:r>
        <w:t>En dehors des cas de défense obligatoire, l'art. 132 al. 1 let. b CPP soumet le droit à l'assistance d'un défenseur d'office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plus de 4 mois ou d'une peine pécuniaire de plus de 120 jours-amende (art. 132 al. 3 CPP).</w:t>
      </w:r>
    </w:p>
    <w:p>
      <w:r>
        <w:rPr>
          <w:b/>
        </w:rPr>
        <w:t>E. 4.2</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rPr>
          <w:b/>
        </w:rPr>
        <w:t>E. 4.3</w:t>
      </w:r>
    </w:p>
    <w:p>
      <w:r>
        <w:t>En l'espèce, la question de l'impécuniosité du recourant, non examinée par le Ministère public dans l'ordonnance querellée, peut rester ouverte, au vu des considérations qui suivent. Par ordonnance pénale, frappée d'opposition, le recourant a été condamné à une peine pécuniaire de 150 jours-amende, avec sursis, ainsi qu'à une amende de CHF 2'140.-, pour laquelle, en cas de non-paiement, une peine privative de liberté de 21 jours a été prononcée. À supposer que ces peines soient confirmées, l'ensemble des sanctions dépassent celles prévues à l'art. 132 al. 3 CPP, de sorte que la cause ne peut pas être qualifiée de peu de gravité au sens de l'art. 132 al. 2 CPP.</w:t>
      </w:r>
    </w:p>
    <w:p>
      <w:r>
        <w:t>- 7/8 - P/18207/2020 Néanmoins, les deux conditions prévues par cette disposition étant cumulatives, encore faut-il que la cause présente des difficultés, de fait ou de droit, que le recourant ne pourrait surmonter seul. Or, l'examen des circonstances du cas d'espèce montre que tel n'est pas le cas. Il ressort en effet de la procédure que les faits et dispositions légales sont clairement circonscrits et ne présentent aucune difficulté de compréhension ou d'application pour le recourant. Celui-ci a parfaitement compris ce qui lui était reproché et a donné des explications claires à la police, sans l'aide d'un conseil. Les infractions à la circulation routière reprochées ici ne sont, pour le surplus, pas complexes et ne sont pas étrangères au recourant, puisque celui-ci a déjà été condamné, en 2018, pour des infractions similaires. Le fait que l'assistance juridique ait été accordée au recourant dans le cadre d'une procédure administrative connexe n'est, au demeurant, pas pertinent, puisque celle-ci est, dans ce cadre, octroyée sur la seule base d'absence de ressources et de chances de succès suffisantes. Or, en matière pénale, l'assistance juridique est soumise à des conditions plus rigoureuses, à savoir, comme exposées ci-dessus, la nécessité de sauvegarde des intérêts de la personne concernée, ce qui n'est manifestement pas le cas en l'espèce. L'argumentation du recourant à cet égard tombe dès lors à faux. La condition de la complexité de la procédure n'étant pas réalisée, l'art. 132 al. 2 CPP ne trouve pas application. C'est donc à juste titre que le Ministère public a refusé de nommer un défenseur d'office au recourant.</w:t>
      </w:r>
    </w:p>
    <w:p>
      <w:r>
        <w:rPr>
          <w:b/>
        </w:rPr>
        <w:t>E. 5</w:t>
      </w:r>
    </w:p>
    <w:p>
      <w:r>
        <w:t>Justifiée, l'ordonnance querellée sera donc confirmée.</w:t>
      </w:r>
    </w:p>
    <w:p>
      <w:r>
        <w:rPr>
          <w:b/>
        </w:rPr>
        <w:t>E. 6</w:t>
      </w:r>
    </w:p>
    <w:p>
      <w:r>
        <w:t>Les frais de la procédure de recours resteront à la charge de l'État (art. 20 RAJ). * * * * *</w:t>
      </w:r>
    </w:p>
    <w:p>
      <w:r>
        <w:t>- 8/8 - P/18207/2020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