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ACPR/330/2019 vom 9. April 2019</w:t>
      </w:r>
    </w:p>
    <w:p>
      <w:r>
        <w:t>GE Cour de justice, 2019-04-09, FR</w:t>
      </w:r>
    </w:p>
    <w:p>
      <w:r>
        <w:rPr>
          <w:b/>
        </w:rPr>
        <w:t xml:space="preserve">Quelle: </w:t>
      </w:r>
      <w:r>
        <w:t>https://mcp.opencaselaw.ch/entscheid/ge_gerichte_ACPR_330_2019</w:t>
      </w:r>
    </w:p>
    <w:p>
      <w:r>
        <w:t>FR: GE_GERICHTE ACPR/330/2019 du 9 avril 2019</w:t>
      </w:r>
    </w:p>
    <w:p>
      <w:r>
        <w:t>IT: GE_GERICHTE ACPR/330/2019 del 9 aprile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Code de procédure pénale suisse, Bâle 2011, n. 12 ad art. 363). 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t>- 5/8 - PM/438/2019</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6B_72/2007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certes, réalisée depuis le 13 avril 2019. Les motifs pour lesquels le TAPEM s'est fondé pour poser le pronostic défavorable n'apparaissent toutefois pas critiquables. Le préavis favorable de l'établissement carcéral ne suffit, à lui seul, en effet pas, le bon comportement du recourant en</w:t>
      </w:r>
    </w:p>
    <w:p>
      <w:r>
        <w:t>- 6/8 - PM/438/2019 détention n'étant pas déterminant. Le recourant a déjà été condamné à 8 reprises depuis 2014, essentiellement pour infractions à la LStup et à la LÉI. Lesdites condamnations ne l'ont aucunement dissuadé de récidiver, bien au contraire. Il a en outre, été renvoyé deux fois en Italie d'où il est revenu en violation des interdictions dont il faisait l'objet. Après le jugement de libération conditionnelle du 8 août 2018, dont il n'a pas pu bénéficier, ayant atteint la fin de sa peine, il ne s'est pas présenté à l'office E______ de la population dont il dépend et a encore été condamné par ordonnance pénale du 5 février 2019. L'on ne voit pas en quoi les circonstances auraient aujourd'hui changé et garantiraient qu'il ne récidive pas, une nouvelle fois. En l'absence d'élément contraire, sa situation personnelle demeure identique à celle l'ayant conduit à commettre les infractions. Son projet français n'est pas étayé et le recourant ne dispose d'aucune autorisation de séjour ou de travail en France, le juge helvétique ne pouvant s'accommoder de la commission d'infractions. Au vu de ce qui précède, le pronostic est, en l'état, défavorable. D'une appréciation d'ensemble, il résulte que le risque de récidive est trop élevé pour donner suite à la requête du recourant. Le premier juge l'a parfaitement évalué.</w:t>
      </w:r>
    </w:p>
    <w:p>
      <w:r>
        <w:rPr>
          <w:b/>
        </w:rPr>
        <w:t>E. 4</w:t>
      </w:r>
    </w:p>
    <w:p>
      <w:r>
        <w:t>Justifiée,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 * * * * *</w:t>
      </w:r>
    </w:p>
    <w:p>
      <w:r>
        <w:t>- 7/8 - PM/438/2019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