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ACPR/32/2024 vom 21. September 2023</w:t>
      </w:r>
    </w:p>
    <w:p>
      <w:r>
        <w:t>GE Cour de justice, 2023-09-21, FR</w:t>
      </w:r>
    </w:p>
    <w:p>
      <w:r>
        <w:rPr>
          <w:b/>
        </w:rPr>
        <w:t xml:space="preserve">Quelle: </w:t>
      </w:r>
      <w:r>
        <w:t>https://mcp.opencaselaw.ch/entscheid/ge_gerichte_ACPR_32_2024</w:t>
      </w:r>
    </w:p>
    <w:p>
      <w:r>
        <w:t>FR: GE_GERICHTE ACPR/32/2024 du 21 septembre 2023</w:t>
      </w:r>
    </w:p>
    <w:p>
      <w:r>
        <w:t>IT: GE_GERICHTE ACPR/32/2024 del 21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L'art. 303 al. 1 CP réprime notamment du chef de dénonciation calomnieuse quiconque dénonce à l'autorité, comme auteur d'un crime ou d'un délit, une personne qu'il sait innocente, en vue de faire ouvrir contre elle une poursuite pénale. Sur le plan objectif, une dénonciation est composée de deux éléments soit qu'une dénonciation soit faite et qu'elle fasse porter l'accusation sur une personne innocente. La dénonciation n'est calomnieuse que si la personne mise en cause est innocente, en ce sens qu'elle n'a pas commis les faits qui lui sont faussement imputés, soit parce que ceux-ci ne se sont pas produits, soit parce qu'elle n'en est pas l'auteur. Est "innocent" celui qui a été libéré par un jugement d'acquittement ou par le prononcé d'un classement (arrêt du Tribunal fédéral 6B_483/2020 du 13 octobre 2020 consid. 1.1.1). Une dénonciation pénale n'est pas punissable du seul fait que la procédure pénale ouverte consécutivement à la dénonciation est classée. L'infraction n'est réalisée que si l'innocence de la personne dénoncée a été constatée dans une procédure précédente (ATF 136 IV 170 consid. 2.2).</w:t>
      </w:r>
    </w:p>
    <w:p>
      <w:r>
        <w:t>- 6/8 - P/14806/2023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Par ailleurs, l'auteur doit agir en vue de faire ouvrir une poursuite pénale contre la personne qu'il accuse injustement. Le dol éventuel suffit quant à cette intention (arrêt du Tribunal fédéral 6B_324/2015 du 18 janvier 2016 consid. 2.1). L'art. 303 CP n'exige pas tant l'innocence de la personne dénoncée que la connaissance certaine de cette innocence par l'auteur (arrêt du Tribunal fédéral 6B_1003/2017 du 20 août 2018 consid. 4.2). En l'absence d'aveu, l'élément subjectif se déduit d'une analyse des circonstances permettant de tirer, sur la base des éléments extérieurs, des déductions sur les dispositions intérieures de l'auteur (arrêt du Tribunal fédéral 6B_502/2017 du 16 avril 2018 consid. 2.1).</w:t>
      </w:r>
    </w:p>
    <w:p>
      <w:r>
        <w:rPr>
          <w:b/>
        </w:rPr>
        <w:t>E. 2.3</w:t>
      </w:r>
    </w:p>
    <w:p>
      <w:r>
        <w:t>En l'espèce, le recourant a certes bénéficié d'une ordonnance de classement, confirmée par la Chambre de céans, des chefs d'escroquerie et d'abus de confiance, mais rendue postérieurement au dépôt de plainte de B______, de sorte qu'on ne saurait retenir pour ce seul motif que cette dernière a voulu dénoncer un innocent. L'ensemble des éléments au dossier ne permettent pas non plus d'affirmer que la mise en cause avait l'intention de faire ouvrir injustement une procédure pénale contre le recourant. Au vu des faits dénoncés, à savoir : la réalité des montants dus; la présentation de biens immobiliers ayant pour but de la conforter sur les capacités de remboursement du recourant et la santé financière de C______ SA, avant les prêts consentis; le refus de fournir les documents sollicités; et, au moment de la résiliation du contrat de prêt, le transfert de fonds des comptes de C______ SA à ceux du recourant privant ainsi la société de liquidités suffisantes pour la rembourser, il apparaît plutôt que l'intéressée considérait le recourant comme coupable de l'infraction dénoncée – une escroquerie –. Dans ces circonstances, on ne saurait retenir qu'elle avait pour seul but de nuire au recourant, ni délibérément porté une fausse accusation d'escroquerie à son encontre et partant de l'avoir dénoncé calomnieusement. Ce constat ne saurait être modifié par le seul fait qu'au moment du dépôt de sa plainte, B______ avait cédé sa créance à C______ SA. Partant, l'ordonnance querellée ne prête pas le flanc à la critique.</w:t>
      </w:r>
    </w:p>
    <w:p>
      <w:r>
        <w:rPr>
          <w:b/>
        </w:rPr>
        <w:t>E. 3</w:t>
      </w:r>
    </w:p>
    <w:p>
      <w:r>
        <w:t>Justifiée, l'ordonnance querellée sera donc confirmée.</w:t>
      </w:r>
    </w:p>
    <w:p>
      <w:r>
        <w:rPr>
          <w:b/>
        </w:rPr>
        <w:t>E. 4</w:t>
      </w:r>
    </w:p>
    <w:p>
      <w:r>
        <w:t>Le recourant, qui succombe, supportera les frais envers l'État, fixés en totalité à CHF 1'500.- (art. 428 al. 1 CPP et 13 al. 1 du Règlement fixant le tarif des frais en matière pénale, RTFMP ; E 4 10.03). * * * * *</w:t>
      </w:r>
    </w:p>
    <w:p>
      <w:r>
        <w:t>- 7/8 - P/14806/2023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