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ACPR/32/2022 vom 8. November 2021</w:t>
      </w:r>
    </w:p>
    <w:p>
      <w:r>
        <w:t>GE Cour de justice, 2021-11-08, FR</w:t>
      </w:r>
    </w:p>
    <w:p>
      <w:r>
        <w:rPr>
          <w:b/>
        </w:rPr>
        <w:t xml:space="preserve">Quelle: </w:t>
      </w:r>
      <w:r>
        <w:t>https://mcp.opencaselaw.ch/entscheid/ge_gerichte_ACPR_32_2022</w:t>
      </w:r>
    </w:p>
    <w:p>
      <w:r>
        <w:t>FR: GE_GERICHTE ACPR/32/2022 du 8 novembre 2021</w:t>
      </w:r>
    </w:p>
    <w:p>
      <w:r>
        <w:t>IT: GE_GERICHTE ACPR/32/2022 del 8 novembre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2.1</w:t>
      </w:r>
    </w:p>
    <w:p>
      <w:r>
        <w:t>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La demande, dûment motivée, doit être adressée par écrit dans les 30 jours à compter de celui où l'empêchement a cessé, à l'autorité auprès de laquelle l'acte de procédure aurait dû être accompli (art. 94 al. 2 CPP). Par empêchement non fautif, il faut comprendre toute circonstance qui aurait empêché une partie consciencieuse d'agir dans le délai fixé. Il s'agit non seulement de l'impossibilité objective, comme la force majeure, mais également d'impossibilité subjective due à des circonstances personnelles ou à l'erreur (Y. JEANNERET / A. KUHN / C. PERRIER DEPEURSINGE (éds), Commentaire romand : Code de procédure pénale suisse, 2ème éd., Bâle 2019, n. 10 ad art. 94).</w:t>
      </w:r>
    </w:p>
    <w:p>
      <w:r>
        <w:rPr>
          <w:b/>
        </w:rPr>
        <w:t>E. 2.2</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(ATF 141 II 429 consid. 3.1; 139 IV 228 consid. 1.1 et les références citées ; arrêt du Tribunal fédéral 6B_723/2020 du 2 septembre 2020).</w:t>
      </w:r>
    </w:p>
    <w:p>
      <w:r>
        <w:rPr>
          <w:b/>
        </w:rPr>
        <w:t>E. 2.3</w:t>
      </w:r>
    </w:p>
    <w:p>
      <w:r>
        <w:t>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w:t>
      </w:r>
    </w:p>
    <w:p>
      <w:r>
        <w:t>- 5/7 - P/2217/2021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 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 consid. 2.2; arrêt du Tribunal fédéral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 consid. 2.4.1). Dans ce contexte, des considérations purement hypothétiques, selon lesquelles l'envoi aurait été inséré dans la boîte aux lettres du voisin ou d'un tiers, ne sont pas suffisantes (arrêts du Tribunal fédéral 8C_482/2018 précité consid. 4.3; 9C_90/2015 du 2 juin 2015 consid. 3.2).</w:t>
      </w:r>
    </w:p>
    <w:p>
      <w:r>
        <w:rPr>
          <w:b/>
        </w:rPr>
        <w:t>E. 2.4</w:t>
      </w:r>
    </w:p>
    <w:p>
      <w:r>
        <w:t>En l'espèce, le Ministère public a considéré que la recourante n'avait pas établi, avec une vraisemblance prépondérante, l'absence d'avis de retrait dans sa boîte aux lettres. Toutefois, la recourante ne s'est pas contentée de nier la réception de l'avis de passage de l'employé de la Poste. Elle a étayé ses explications par un courriel, dans lequel cet établissement reconnait qu'il y a pu avoir une erreur dans la distribution du courrier le 18 mai 2021, notamment en raison de la présence d'un collaborateur en formation. Aucun élément ne permet par ailleurs de mettre en cause la bonne foi de la recourante. Conjugués, ces éléments sont de nature à semer un doute suffisant quant à un possible dysfonctionnement concret dans la distribution de l'avis de retrait le jour en question, ce qui va au-delà de considérations purement hypothétiques et rend plausible la version de la recourante au vu des circonstances. De surcroît, s'agissant d'un fait négatif, on ne voit pas quel élément de preuve supplémentaire on aurait pu exiger de sa part. Contrairement à l'avis des autorités précédentes, on peut donc considérer, avec une vraisemblance prépondérante, qu'une erreur dans la notification s'est produite et que</w:t>
      </w:r>
    </w:p>
    <w:p>
      <w:r>
        <w:t>- 6/7 - P/2217/2021 la recourante a ainsi été empêchée, sans sa faute, de former opposition à l'ordonnance pénale du 10 mai 2021, faute d'en avoir eu connaissance. Dans la mesure où la demande de restitution de délai et l'opposition à l'ordonnance pénale ont été formées le 18 août 2021, soit moins de 30 jours après la découverte de l'existence de l'ordonnance pénale, intervenue, selon la recourante, au plus tôt le 20 juillet 2021, les conditions de l'art. 94 al. 2 CPP sont remplies.</w:t>
      </w:r>
    </w:p>
    <w:p>
      <w:r>
        <w:rPr>
          <w:b/>
        </w:rPr>
        <w:t>E. 3</w:t>
      </w:r>
    </w:p>
    <w:p>
      <w:r>
        <w:t>Au vu de ce qui précède, le recours sera admis, l'ordonnance querellée annulée, le délai d'opposition à l'ordonnance pénale du 10 mai 2021 restitué à la recourante et la cause retournée au Ministère public pour qu'il statue sur l'opposition, la Chambre de céans n'étant pas compétente pour statuer sur le fond.</w:t>
      </w:r>
    </w:p>
    <w:p>
      <w:r>
        <w:rPr>
          <w:b/>
        </w:rPr>
        <w:t>E. 4</w:t>
      </w:r>
    </w:p>
    <w:p>
      <w:r>
        <w:t>Aucune indemnité ne sera allouée à la recourante, qui agit en personne et n'en réclame aucune.</w:t>
      </w:r>
    </w:p>
    <w:p>
      <w:r>
        <w:rPr>
          <w:b/>
        </w:rPr>
        <w:t>E. 5</w:t>
      </w:r>
    </w:p>
    <w:p>
      <w:r>
        <w:t>Les frais de l'instance de recours seront laissés à la charge de l'État. * * * * *</w:t>
      </w:r>
    </w:p>
    <w:p>
      <w:r>
        <w:t>- 7/7 - P/2217/2021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