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ACPR/32/2021 vom 17. November 2020</w:t>
      </w:r>
    </w:p>
    <w:p>
      <w:r>
        <w:t>GE Cour de justice, 2020-11-17, FR</w:t>
      </w:r>
    </w:p>
    <w:p>
      <w:r>
        <w:rPr>
          <w:b/>
        </w:rPr>
        <w:t xml:space="preserve">Quelle: </w:t>
      </w:r>
      <w:r>
        <w:t>https://mcp.opencaselaw.ch/entscheid/ge_gerichte_ACPR_32_2021</w:t>
      </w:r>
    </w:p>
    <w:p>
      <w:r>
        <w:t>FR: GE_GERICHTE ACPR/32/2021 du 17 novembre 2020</w:t>
      </w:r>
    </w:p>
    <w:p>
      <w:r>
        <w:t>IT: GE_GERICHTE ACPR/32/2021 del 17 novembre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d’avoir violé son droit d’être entendu.</w:t>
      </w:r>
    </w:p>
    <w:p>
      <w:r>
        <w:rPr>
          <w:b/>
        </w:rPr>
        <w:t>E. 3.1</w:t>
      </w:r>
    </w:p>
    <w:p>
      <w:r>
        <w:t>Le droit d’être entendu, consacré par l’art. 29 al. 2 Cst féd., impose à l’autorité de motiver sa décision, afin que les parties puissent les comprendre et apprécier l’opportunité de les attaquer, et que les autorités de recours soient en mesure d’exercer leur contrôle (ATF 136 I 229 consid. 5.3 ; 126 I 97 consid. 2b). L’autorité peut se limiter à ne discuter que les moyens pertinents, sans être tenue de répondre à tous les arguments qui lui sont présentés (ATF 139 IV 179 consid. 2.2 ; arrêt du Tribunal fédéral 6B_146/2016 du 22 août 2016 consid. 1.1). Il suffit que le juge mentionne, au moins brièvement, les motifs qui l’ont guidé et sur lesquels il a fondé sa décision. Dès lors qu’on peut discerner ces motifs, le droit d’être entendu est respecté (arrêt du Tribunal fédéral 6B_226/2019 du 29 mars 2019 consid. 2.1).</w:t>
      </w:r>
    </w:p>
    <w:p>
      <w:r>
        <w:rPr>
          <w:b/>
        </w:rPr>
        <w:t>E. 3.2</w:t>
      </w:r>
    </w:p>
    <w:p>
      <w:r>
        <w:t>En l’espèce, l’ordonnance attaquée est, certes, succincte. Elle énonce toutefois les fondements sur lesquels elle repose, à savoir qu’ayant été entendu par les gardes-frontière en février 2020 concernant une infraction commise le jour même, le prévenu devait s’attendre à recevoir une décision judiciaire et aurait ainsi dû prendre les mesures nécessaires à la sauvegarde de ses droits. Cette motivation permet de comprendre que le Ministère public a considéré que l’état psychologique du recourant ne l’empêchait pas de prendre des mesures pour sauvegarder ses droits, malgré l’incapacité attestée par les documents médicaux produits. En outre, on</w:t>
      </w:r>
    </w:p>
    <w:p>
      <w:r>
        <w:t>- 5/9 - P/5308/2020 comprend également de la décision querellée que l’autorité précédente a implicitement refusé les réquisitions de preuves formulées par le prévenu. Le recourant a d’ailleurs parfaitement saisi les motifs de la décision et le refus implicite d’actes d’instruction, puisqu’il a été en mesure de la critiquer, dans son acte, sur neuf pages, et de réitérer lesdits actes d’instruction par-devant la Chambre de céans. Le grief sera, partant, rejeté.</w:t>
      </w:r>
    </w:p>
    <w:p>
      <w:r>
        <w:rPr>
          <w:b/>
        </w:rPr>
        <w:t>E. 4</w:t>
      </w:r>
    </w:p>
    <w:p>
      <w:r>
        <w:t>Le recourant reproche au Ministère public d’avoir refusé la restitution du délai d’opposition.</w:t>
      </w:r>
    </w:p>
    <w:p>
      <w:r>
        <w:rPr>
          <w:b/>
        </w:rPr>
        <w:t>E. 4.1</w:t>
      </w:r>
    </w:p>
    <w:p>
      <w:r>
        <w:t>Une partie peut demander la restitution du délai si elle a été empêchée de l'observer et qu’elle est de ce fait exposée à un préjudice important et irréparable ; elle doit toutefois rendre vraisemblable que le défaut n’est imputable à aucune faute de sa part (art. 94 al. 1 CPP). La demande de restitution, dûment motivée, doit être adressée par écrit dans les 30 jours à compter de celui où l’empêchement a cessé, à l’autorité auprès de laquelle l’acte de procédure aurait dû être accompli (art. 94 al. 2 CP). Ces principes s’appliquent par analogie à l’inobservation d’un terme (al. 4).</w:t>
      </w:r>
    </w:p>
    <w:p>
      <w:r>
        <w:t>Par empêchement non fautif, il faut comprendre toute circonstance qui aurait empêché une partie consciencieuse d’agir dans le délai fixé. Il s’agit non seulement de l’impossibilité objective, comme la force majeure, mais également d’impossibilité subjective due à des circonstances personnelles ou à l’erreur (Y. JEANNERET / A. KUHN / C. PERRIER DEPEURSINGE (éds), Commentaire romand : Code de procédure pénale suisse, 2ème éd., Bâle 2019, n. 10 ad art. 94). On tiendra compte ainsi non seulement de la nature de l’empêchement, mais également de sa durée comme de la nature de l’acte omis. On se montrera plus strict si l’acte à accomplir se limite à la production d’une procuration ou au versement d’une avance de frais (L. MOREILLON / A. PAREIN-REYMOND, Petit commentaire CPP, Bâle 2016, n. 5 ad art. 94). Une maladie grave ou un accident peuvent constituer un empêchement non fautif et conduire à la restitution d’un délai, lorsqu’ils mettent la partie objectivement et subjectivement dans l’impossibilité d’agir elle-même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112 V 255 consid. 2a et arrêt du Tribunal fédéral 6B_1409/2017 du 12 juin 2018 consid. 3.1). Une maladie ne constitue cependant pas un empêchement non fautif</w:t>
      </w:r>
    </w:p>
    <w:p>
      <w:r>
        <w:t>- 6/9 - P/5308/2020 lorsqu’elle n’est pas inattendue et n’empêche pas la partie de se faire représenter (L. MOREILLON / A. PAREIN-REYMOND, op cit., n. 7 ad art. 94 et les références citées). Concernant la condition de l’absence de faute, le Tribunal fédéral a considéré que la jurisprudence fondée sur l’art. 35 aOJ pouvait être reprise et que la restitution ne pouvait être accordée qu’en cas d’absence claire de faute. Il est ainsi exigé qu’il ait été absolument impossible à la personne concernée de respecter le délai ou de charger un tiers de faire le nécessaire afin de le conserver (L. MOREILLON / A. PAREIN-REYMOND, op cit., n. 6 ad art. 94 et les références citées). Dès que l’intéressé est objectivement et subjectivement en état d’agir lui-même ou de faire agir un tiers à sa place, l’empêchement cesse d’être exempt de faute au sens de la loi (ATF 119 II 86 consid. 2a). En effet, de jurisprudence constante, celui qui se sait partie à une procédure et qui doit dès lors s’attendre à recevoir la notification d’actes du juge, est tenu de relever son courrier ou de prendre des dispositions pour que celui-ci lui parvienne néanmoins. À défaut, il est réputé avoir eu, à l’échéance du délai de garde, connaissance du contenu des plis recommandés que le juge lui adresse (ATF 139 IV 228 consid. 1.1).</w:t>
      </w:r>
    </w:p>
    <w:p>
      <w:r>
        <w:rPr>
          <w:b/>
        </w:rPr>
        <w:t>E. 4.2</w:t>
      </w:r>
    </w:p>
    <w:p>
      <w:r>
        <w:t>En l’espèce, il ressort des éléments médicaux produits par le recourant qu'en raison d'une dépression sévère, il était suivi depuis début 2019. L'importante symptomatologie avait induit une incapacité de traiter ses affaires administratives courantes durant de nombreux mois, jusqu'à fin juin 2020. Dans ce contexte, le recourant a été interpellé et interrogé par les gardes-frontières le 24 février 2020 pour une infraction à la LCR. L'ordonnance pénale rendue par le Ministère public le 15 mai 2020 lui a été adressée le 20 mai suivant par pli recommandé, qui n'a – par suite d'un délai de garde prolongé – été relevé au guichet que le 18 juin 2020. L'opposition a été formée le 16 juillet 2020. La période d'incapacité invoquée par le recourant, pour laquelle il sollicite une restitution de délai, court donc – par suite de la prolongation du délai de garde dont le Tribunal de police a tenu compte en faveur du recourant – du 19 au 29 juin 2020. Or, force est de constater que cette période se situe une année et demi après le début des troubles du recourant, de sorte qu'en application des principes jurisprudentiels sus- rappelés, on ne peut plus considérer qu'il lui était, à ce moment-là, absolument impossible de charger un tiers de faire opposition à sa place. Certes, le recourant objecte qu'il se trouvait dans l'incapacité de ressentir la nécessité d’une représentation. Outre que cette assertion n'est nullement attestée médicalement, il est relevé que la période d'incapacité alléguée – du 19 au 29 juin 2020 – coïncide avec la fin de l'inaptitude du recourant à gérer ses affaires administratives selon ses</w:t>
      </w:r>
    </w:p>
    <w:p>
      <w:r>
        <w:t>- 7/9 - P/5308/2020 médecins, « fin juin 2020 ». En raison de l'écoulement du temps et de la simplicité de l'acte à accomplir – une opposition non motivée –, le Ministère public pouvait, sans violer la loi, considérer que le recourant n'avait pas, sans faute de sa part au sens de l'art. 94 CPP, été empêché de procéder. Les actes d’instruction sollicités ne sont pas de nature à modifier les conclusions qui précèdent. En effet, on ne voit pas ce que l’audition des médecins, hormis la confirmation de la teneur de leurs attestations médicales, pourrait amener comme élément probant supplémentaire. L'audition de son fils n'est pas non plus de nature à modifier les conclusions qui précèdent.</w:t>
      </w:r>
    </w:p>
    <w:p>
      <w:r>
        <w:rPr>
          <w:b/>
        </w:rPr>
        <w:t>E. 5</w:t>
      </w:r>
    </w:p>
    <w:p>
      <w:r>
        <w:t>Justifiée, l'ordonnance querellée sera donc confirmée et le recours rejeté.</w:t>
      </w:r>
    </w:p>
    <w:p>
      <w:r>
        <w:rPr>
          <w:b/>
        </w:rPr>
        <w:t>E. 6</w:t>
      </w:r>
    </w:p>
    <w:p>
      <w:r>
        <w:t>Le recourant, qui succombe, supportera les frais envers l'État, qui seront fixés en totalité à CHF 800.- (art. 428 al. 1 CPP et 13 al. 1 du Règlement fixant le tarif des frais en matière pénale, RTFMP ; E 4 10.03). * * * * *</w:t>
      </w:r>
    </w:p>
    <w:p>
      <w:r>
        <w:t>- 8/9 - P/5308/2020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