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ACPR/32/2020 vom 16. Mai 2019</w:t>
      </w:r>
    </w:p>
    <w:p>
      <w:r>
        <w:t>GE Cour de justice, 2019-05-16, FR</w:t>
      </w:r>
    </w:p>
    <w:p>
      <w:r>
        <w:rPr>
          <w:b/>
        </w:rPr>
        <w:t xml:space="preserve">Quelle: </w:t>
      </w:r>
      <w:r>
        <w:t>https://mcp.opencaselaw.ch/entscheid/ge_gerichte_ACPR_32_2020</w:t>
      </w:r>
    </w:p>
    <w:p>
      <w:r>
        <w:t>FR: GE_GERICHTE ACPR/32/2020 du 16 mai 2019</w:t>
      </w:r>
    </w:p>
    <w:p>
      <w:r>
        <w:t>IT: GE_GERICHTE ACPR/32/2020 del 16 maggio 2019</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w:t>
      </w:r>
    </w:p>
    <w:p>
      <w:r>
        <w:t>- 7/11 - P/20400/2018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w:t>
      </w:r>
    </w:p>
    <w:p>
      <w:r>
        <w:rPr>
          <w:b/>
        </w:rPr>
        <w:t>E. 4.1</w:t>
      </w:r>
    </w:p>
    <w:p>
      <w:r>
        <w:t>Le recourant estime que l'écriture litigieuse est attentatoire à son honneur. 4.2.1.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Pour qu'il y ait diffamation, il faut que l'auteur s'adresse à un tiers. Est en principe un tiers au sens des art. 173 et 174 CP toute personne autre que l'auteur et l'objet des propos qui portent atteinte à l'honneur, par exemple l'avocat de l'auteur, les magistrats (ATF 86 IV 209 et références citées). Toutefois, le Tribunal fédéral relève qu'en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(arrêt du Tribunal fédéral 6B_185/2011 du 22 décembre 2011 consid. 6.2 et les références citées). 4.2.2. La calomnie (art. 174 CP) est une forme qualifiée de diffamation (art. 173 CP), dont elle se distingue en cela que les allégations attentatoires à l'honneur sont</w:t>
      </w:r>
    </w:p>
    <w:p>
      <w:r>
        <w:t>- 8/11 - P/20400/2018 fausses, que l'auteur doit avoir eu connaissance de la fausseté de ses allégations et qu'il n'y a dès lors pas place pour les preuves libératoires prévues dans le cas de la diffamation. Sur le plan objectif, la calomnie implique donc la formulation ou la propagation d'allégations de fait fausses, qui soient attentatoires à l'honneur de la personne visée.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du Tribunal fédéral 6B_1100/2016 du 25 octobre 2017 consid. 3.4 ; 6B_1286/2016 du 15 août 2017 consid. 1.2). 4.2.3. Les art. 173 et 174 CP protègent la réputation d'être une personne honorable, c'est-à-dire de se comporter comme une personne digne a coutume de le faire selon les conceptions généralement reçues.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ATF 128 IV 53 consid. 1a p. 57 s. et les références; arrêt du Tribunal fédéral 6B_441/2016 du 29 mars 2017 consid. 4.1).</w:t>
      </w:r>
    </w:p>
    <w:p>
      <w:r>
        <w:rPr>
          <w:b/>
        </w:rPr>
        <w:t>E. 4.3</w:t>
      </w:r>
    </w:p>
    <w:p>
      <w:r>
        <w:t>Dans le cadre judiciaire, l'existence d'une atteinte à l'honneur ne doit être admise que de manière restrictive, faute de quoi cela reviendrait à entraver les droits de la défense et à conférer un caractère pénal à toute contestation d'une plainte (A. MACALUSO / L. MOREILLON / N. QUELOZ (éds), Commentaire romand, Code pénal II, vol. II, Partie spéciale : art. 111-392 CP, Bâle 2017, ad art. 173-178 n. 38 et références citées). Selon la jurisprudence, des déclarations objectivement attentatoires à l'honneur peuvent être justifiées par le devoir d'alléguer des faits dans le cadre d'une procédure judiciaire.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w:t>
      </w:r>
    </w:p>
    <w:p>
      <w:r>
        <w:rPr>
          <w:b/>
        </w:rPr>
        <w:t>E. 4.4</w:t>
      </w:r>
    </w:p>
    <w:p>
      <w:r>
        <w:t>En l'espèce, les écrits litigieux ont été produits dans le cadre d'une procédure administrative opposant les protagonistes depuis plus de deux ans et ne sont parvenus à la connaissance que de la COP, du chef du DSAS et des parties elles-mêmes, soit un nombre restreint de personnes qui, de surcroît étaient toutes parfaitement informées et conscientes des circonstances particulières dans lesquelles les</w:t>
      </w:r>
    </w:p>
    <w:p>
      <w:r>
        <w:t>- 9/11 - P/20400/2018 allégations étaient formulées et – sous réserve de la mise en cause – soumises à une obligation de secret (art. 320 et 321 CP). Dans son recours, la mise en cause visait à faire reconnaître le manque d'information entourant l'opération subie le 6 juin 2013, l'absence de consentement éclairé relatif à la pose d'une prothèse totale du genou et une violation de son droit d'accès au dossier médical. Les déclarations litigieuses ont été formulées dans le but d'étayer ses soupçons de violation des art. 23 et 24 LSP. Elles avaient pour but de démontrer que, selon elle, le praticien n'avait pas obtenu son consentement libre et éclairé, avait tenté de dissimuler cette absence et lui avait remis un dossier médical incomplet. Que l'instance inférieure eût rejeté sa plainte à l'issue d'une enquête, ne dispensait pas la mise en cause de formuler, à nouveau, ses griefs devant l'autorité de recours si elle voulait avoir gain de cause. Ainsi, compte tenu du devoir d'alléguer des parties et le fait que dans un tel contexte, les propos doivent être considérés avec retenue sous l'angle du droit pénal, les termes litigieux, bien que désagréables pour le recourant, ne peuvent être considérés comme étant attentatoires à son honneur, n'ayant excédé ni l'objet du recours ni la mesure de l'admissible (art. 14 CP). Par ailleurs, la mention selon laquelle le recourant aurait "menacé" sa patiente (cf. p. 5 ch. 37 du document litigieux) au lieu de répondre à ses questions ne sous- entend pas une menace au sens de l'art. 180 CP. Comme l'a précisé le recourant lui- même dans sa plainte pénale, cet allégué faisait référence à l'incident décrit par le mari de la mise en cause, dont l'autorité de recours avait connaissance puisque le procès-verbal d'audition du précité figurait dans le dossier. Partant, cet allégué ne remplit pas non plus les conditions d'une atteinte à l'honneur. Faute de prévention pénale, c'est à bon droit que le Ministère public a décidé de ne pas entrer en matière sur la plainte pénale.</w:t>
      </w:r>
    </w:p>
    <w:p>
      <w:r>
        <w:rPr>
          <w:b/>
        </w:rPr>
        <w:t>E. 5</w:t>
      </w:r>
    </w:p>
    <w:p>
      <w:r>
        <w:t>Justifiée, l'ordonnance querellée sera donc confirmée.</w:t>
      </w:r>
    </w:p>
    <w:p>
      <w:r>
        <w:rPr>
          <w:b/>
        </w:rPr>
        <w:t>E. 6</w:t>
      </w:r>
    </w:p>
    <w:p>
      <w:r>
        <w:t>Le recourant, qui succombe, supportera les frais envers l'État, qui seront fixés en totalité à CHF 900.- (art. 428 al. 1 CPP et 13 al. 1 du Règlement fixant le tarif des frais en matière pénale, RTFMP ; E 4 10.03). * * * * *</w:t>
      </w:r>
    </w:p>
    <w:p>
      <w:r>
        <w:t>- 10/11 - P/20400/2018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