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ACPR/329/2018 vom 9. Februar 2018</w:t>
      </w:r>
    </w:p>
    <w:p>
      <w:r>
        <w:t>GE Cour de justice, 2018-02-09, FR</w:t>
      </w:r>
    </w:p>
    <w:p>
      <w:r>
        <w:rPr>
          <w:b/>
        </w:rPr>
        <w:t xml:space="preserve">Quelle: </w:t>
      </w:r>
      <w:r>
        <w:t>https://mcp.opencaselaw.ch/entscheid/ge_gerichte_ACPR_329_2018</w:t>
      </w:r>
    </w:p>
    <w:p>
      <w:r>
        <w:t>FR: GE_GERICHTE ACPR/329/2018 du 9 février 2018</w:t>
      </w:r>
    </w:p>
    <w:p>
      <w:r>
        <w:t>IT: GE_GERICHTE ACPR/329/2018 del 9 febbraio 2018</w:t>
      </w:r>
    </w:p>
    <w:p>
      <w:pPr>
        <w:pStyle w:val="Heading2"/>
      </w:pPr>
      <w:r>
        <w:t>Erwägungen</w:t>
      </w:r>
    </w:p>
    <w:p>
      <w:r>
        <w:rPr>
          <w:b/>
        </w:rPr>
        <w:t>E. 1.1</w:t>
      </w:r>
    </w:p>
    <w:p>
      <w:r>
        <w:t>Le recours est recevable pour avoir été déposé selon la forme et dans le délai prescrits (art. 385 al. 1, 90 al. 2 et 396 al. 1 CPP), concerner une décision judiciaire ultérieure indépendante au sens de l'art. 363 CPP, sujette à recours auprès de la Chambre de céans (art. 393 al. 1 let. b CPP ; arrêt du Tribunal fédéral 6B_293/2012 du 21 février 2013 consid. 2 ; ACPR/421/2013), et émaner du condamné visé par la mesure, qui a qualité pour agir, ayant un intérêt juridiquement protégé à la modification ou à l'annulation de la décision attaquée (art. 382 al. 1 CPP).</w:t>
      </w:r>
    </w:p>
    <w:p>
      <w:r>
        <w:t>- 6/12 - P/3956/2018</w:t>
      </w:r>
    </w:p>
    <w:p>
      <w:r>
        <w:rPr>
          <w:b/>
        </w:rPr>
        <w:t>E. 1.2</w:t>
      </w:r>
    </w:p>
    <w:p>
      <w:r>
        <w:t>Les faits et moyens de preuve nouveaux sont recevables devant l'instance de recours, de sorte que les pièces nouvelles produites par le recourant seront admises (arrêts du Tribunal fédéral 1B_768/2012 du 13 janvier 2013 consid. 2.1 ; 1B_332/2013 du 20 décembre 2013 consid. 6.2).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violation de son droit d'être entendu, le SAPEM ne lui ayant pas transmis les observations du Ministère public, pour faire constater la nullité, respectivement demander l'annulation, de la décision querellée.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(arrêts de la CourEDH Schaller-Bosset c. Suisse du 28 octobre 2010, § 39, et Nideröst-Huber c. Suisse du 18 février 1997, § 24 ; ATF 138 I 484 consid. 2.1 p. 485 ; 137 I 195 consid. 2 p. 197 ; 133 I 100 consid. 4.3. p. 102 ; 132 I 42 consid. 3.3.2-3.3.4 p. 46 ; arrêt du Tribunal fédéral 6B_1271/2016 du 10 novembre 2017 consid. 5.1).</w:t>
      </w:r>
    </w:p>
    <w:p>
      <w:r>
        <w:rPr>
          <w:b/>
        </w:rPr>
        <w:t>E. 3.2</w:t>
      </w:r>
    </w:p>
    <w:p>
      <w:r>
        <w:t>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w:t>
      </w:r>
    </w:p>
    <w:p>
      <w:r>
        <w:t>- 7/12 - P/3956/2018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137 I 195 consid. 2.3.2 p. 197 = SJ 2011 I p. 347).</w:t>
      </w:r>
    </w:p>
    <w:p>
      <w:r>
        <w:rPr>
          <w:b/>
        </w:rPr>
        <w:t>E. 3.3</w:t>
      </w:r>
    </w:p>
    <w:p>
      <w:r>
        <w:t>En l'espèce, le SAPEM, en ne faisant pas parvenir au recourant copie de la détermination du Ministère public sur son intention d'ordonner une mesure institutionnelle en milieu ouvert, a violé le droit d'être entendu du recourant, indépendamment du contenu du document litigieux. Toutefois, et contrairement à l'avis du recourant, cette violation ne consacre pas une nullité de la décision querellée, mais conduirait, tout au plus, à son annulation. In casu, cependant, il y a lieu de retenir que dite violation a été réparée, le recourant ayant pu s'exprimer devant l'autorité de céans, qui jouit d'un pouvoir d'examen complet quant aux faits et au droit (art. 393 al. 2 CPP). En outre, le renvoi constituerait une vaine formalité et aboutirait à un allongement inutile de la procédure, incompatible avec l'intérêt du recourant – détenu – à ce que sa cause soit tranchée dans un délai raisonnable, qui plus est au vu des nombreux reports de délais déjà requis. Le grief sera donc rejeté.</w:t>
      </w:r>
    </w:p>
    <w:p>
      <w:r>
        <w:rPr>
          <w:b/>
        </w:rPr>
        <w:t>E. 4</w:t>
      </w:r>
    </w:p>
    <w:p>
      <w:r>
        <w:t>Le recourant reproche à l'autorité précédente d'avoir ordonné l'exécution de la mesure institutionnelle en milieu fermé.</w:t>
      </w:r>
    </w:p>
    <w:p>
      <w:r>
        <w:rPr>
          <w:b/>
        </w:rPr>
        <w:t>E. 4.1</w:t>
      </w:r>
    </w:p>
    <w:p>
      <w:r>
        <w:t>Selon l'art. 56 al. 2 CP, le prononcé d'une mesure suppose que l'atteinte aux droits de la personnalité qui en résulte pour l'auteur ne soit pas disproportionnée au regard de la vraisemblance qu'il commette de nouvelles infractions et de leur gravité.</w:t>
      </w:r>
    </w:p>
    <w:p>
      <w:r>
        <w:rPr>
          <w:b/>
        </w:rPr>
        <w:t>E. 4.2</w:t>
      </w:r>
    </w:p>
    <w:p>
      <w:r>
        <w:t>L'art. 59 al. 3 CP prévoit que le traitement s'effectue dans un établissement fermé tant qu'il existe un risque de fuite ou de récidive (arrêt du Tribunal fédéral 6B_289/2016 du 28 décembre 2016 consid. 4.1.1). Selon la jurisprudence, le risque de fuite ou de récidive doit être qualifié, puisque toutes les mesures supposent un risque de récidive (cf. art. 56 al. 1 let. b CP).</w:t>
      </w:r>
    </w:p>
    <w:p>
      <w:r>
        <w:t>- 8/12 - P/3956/2018 Le risque est qualifié quand il est concret et qu'il est hautement probable que le condamné commette d'autres infractions dans l'établissement ou en dehors de celui- 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 6B_319/2017 du 28 septembre 2017 consid. 1.1 ; 6B_845/2016 du 29 juin 2017 consid. 3.1.2 ; 6B_703/2016 du 2 juin 2017 consid. 3.2.1 ; 6B_371/2016 du 10 février 2017 consid. 2.1 ; 6B_708/2015 du 22 octobre 2015 consid. 3.3 non publié in ATF 142 IV 1). Savoir si le risque est qualifié est une question juridique (cf. sur la dangerosité : arrêts du Tribunal fédéral 6B_1028/2014 du 17 juillet 2015 consid. 3.5 ;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(arrêts du Tribunal fédéral 6B_1243/2017 du 13 mars 2018 consid. 1.1 ; 6B_319/2017 du 28 septembre 2017 consid. 1.1 ; 6B_708/2015 du 22 octobre 2015 consid. 3.3 non publié in ATF 142 IV 1).</w:t>
      </w:r>
    </w:p>
    <w:p>
      <w:r>
        <w:rPr>
          <w:b/>
        </w:rPr>
        <w:t>E. 4.3</w:t>
      </w:r>
    </w:p>
    <w:p>
      <w:r>
        <w:t>En l'espèce, une mesure institutionnelle a été ordonnée par les juges de la CPAR, au vu du grave trouble mental dont souffre le recourant et du risque que, en raison de celui-ci, il ne commette de nouvelles infractions, dont les experts psychiatres ont estimé qu'elles pourraient être de tout type, comme le démontrent d'ailleurs ses antécédents judiciaires. La décision querellée a ordonné l'exécution de cette mesure en milieu fermé, alors que le recourant estime qu'elle devrait l'être en milieu ouvert. Si on peut saluer l'évolution du recourant, constatée dans les rapports médicaux des 24 avril et 5 mai 2017, ces derniers n'établissent nullement que l'intéressé pourrait, d'ores et déjà, être placé en milieu ouvert. Les certificats ont été émis avant l'arrêt de la CPAR du 7 juin 2017. De plus, ces attestations ne contredisent nullement l'expertise psychiatrique, ni l'avis des juges, à teneur desquels un milieu contenant, donc fermé, était nécessaire à tout le moins au début de l'exécution de la mesure. Au contraire, le premier rapport produit par le recourant invoque la nécessité d'un cadre rassurant et structurant. Quant au second, s'il préconise un suivi ambulatoire soutenu à la sortie de l'intéressé, il n'expose pas que celle-ci serait déjà envisageable. C'est donc à juste titre que le SAPEM, au vu du risque de réitération mis en exergue par les experts psychiatres, a ordonné, en l'état, l'exécution de la mesure institutionnelle en milieu fermé.</w:t>
      </w:r>
    </w:p>
    <w:p>
      <w:r>
        <w:t>- 9/12 - P/3956/2018</w:t>
      </w:r>
    </w:p>
    <w:p>
      <w:r>
        <w:rPr>
          <w:b/>
        </w:rPr>
        <w:t>E. 5</w:t>
      </w:r>
    </w:p>
    <w:p>
      <w:r>
        <w:t>Justifiée, la décision querellée sera donc confirmée.</w:t>
      </w:r>
    </w:p>
    <w:p>
      <w:r>
        <w:rPr>
          <w:b/>
        </w:rPr>
        <w:t>E. 6</w:t>
      </w:r>
    </w:p>
    <w:p>
      <w:r>
        <w:t>Le recourant sollicite le bénéfice de l'assistance juridique.</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"pris en charge" par l’administration et acquiert ainsi un "statut nouveau". En exécution des peines, une modification s’opère, dans le sens où l’individu est objet de sujétions et non sujet d’obligations (G. PALUMBO, L’avocat dans l’exécution des peines privatives de liberté: le cas particulier de la procédure disciplinaire,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6.2</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l'al. 2 de cette disposition, seules les heures nécessaires sont retenues. Elles sont appréciées en fonction notamment de la nature,</w:t>
      </w:r>
    </w:p>
    <w:p>
      <w:r>
        <w:t>- 10/12 - P/3956/2018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6.3</w:t>
      </w:r>
    </w:p>
    <w:p>
      <w:r>
        <w:t>En l'espèce, le recourant, détenu dans le cadre de l'exécution d'une mesure, est vraisemblablement indigent et la pathologie dont il souffre ne lui permet pas de se défendre sans l'assistance d'un avocat. L'assistance judiciaire lui sera donc accordée pour la procédure de recours et l'avocat que le recourant s'est choisi désigné en qualité de défenseur. Le recourant n'a pas produit d'état de frais (art. 17 RAJ). Compte tenu de l'acte de recours (13 pages, dont seules 5 sont consacrées à la discussion juridique), ainsi que la lettre par laquelle le recourant persiste dans son recours, 4 heures d'activité, au tarif horaire de CHF 200.-, soit CHF 8'00.-, apparaissent suffisantes à la sauvegarde de ses droits et en adéquation avec le travail accompli, dans une procédure dénuée de complexité particulière.</w:t>
      </w:r>
    </w:p>
    <w:p>
      <w:r>
        <w:rPr>
          <w:b/>
        </w:rPr>
        <w:t>E. 7</w:t>
      </w:r>
    </w:p>
    <w:p>
      <w:r>
        <w:t>Le recourant, qui succombe, supportera les frais envers l'État, qui comprendront un émolument de CHF 600.- (art. 428 al. 1 CPP et 13 al. 1 du Règlement fixant le tarif des frais en matière pénale, RTFMP ; E 4 10.03). Peu importe à cet égard que le recourant ait sollicité – et obtenu – l'assistance judiciaire, l'autorité de recours étant tenue de dresser un état de frais pour la procédure de recours, sans égard à la défense d'office (arrêt du Tribunal fédéral 1B_203/2011 du 18 mai 2011 consid. 4) * * * * *</w:t>
      </w:r>
    </w:p>
    <w:p>
      <w:r>
        <w:t>- 11/12 - P/3956/2018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