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ACPR/327/2026 vom 27. März 2026</w:t>
      </w:r>
    </w:p>
    <w:p>
      <w:r>
        <w:t>GE Cour de justice, 2026-03-27, FR</w:t>
      </w:r>
    </w:p>
    <w:p>
      <w:r>
        <w:rPr>
          <w:b/>
        </w:rPr>
        <w:t xml:space="preserve">Quelle: </w:t>
      </w:r>
      <w:r>
        <w:t>https://mcp.opencaselaw.ch/entscheid/ge_gerichte_ACPR_327_2026</w:t>
      </w:r>
    </w:p>
    <w:p>
      <w:r>
        <w:t>FR: GE_GERICHTE ACPR/327/2026 du 27 mars 2026</w:t>
      </w:r>
    </w:p>
    <w:p>
      <w:r>
        <w:t>IT: GE_GERICHTE ACPR/327/2026 del 27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juin 2022 consid. 2.1, non publié aux ATF 148 IV 288).</w:t>
      </w:r>
    </w:p>
    <w:p>
      <w:r>
        <w:rPr>
          <w:b/>
        </w:rPr>
        <w:t>E. 2.1</w:t>
      </w:r>
    </w:p>
    <w:p>
      <w:r>
        <w:t>Compris comme l'un des aspects de la notion générale de procès équitable au sens de l'art. 29 Cst.,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Les parties doivent pouvoir consulter le dossier pour connaître préalablement les éléments dont dispose l'autorité et jouir ainsi d'une réelle possibilité de faire valoir ses arguments dans une procédure. Pour que cette consultation soit utile, le dossier doit être complet afin qu'elles puissent, cas échéant,</w:t>
      </w:r>
    </w:p>
    <w:p>
      <w:r>
        <w:t>- 9/13 - P/4812/2026 soulever une objection contre leur validité (arrêt du Tribunal fédéral 6B_1270/2021 du</w:t>
      </w:r>
    </w:p>
    <w:p>
      <w:r>
        <w:rPr>
          <w:b/>
        </w:rPr>
        <w:t>E. 2.2</w:t>
      </w:r>
    </w:p>
    <w:p>
      <w:r>
        <w:t>En l'occurrence, il n'est pas contesté par le premier juge qu'il a repris par erreur dans son ordonnance des éléments figurant dans des pièces essentielles relatives aux deux autres prévenus (D______ et C______), auxquelles le prévenu n'avait pas accès. La violation du droit d'être entendu peut toutefois être réparée lorsque la partie lésée a la possibilité de s'exprimer devant une autorité de recours qui jouit d'un plein pouvoir de cognition en droit et en fait (art. 393 al. 2 CPP; ATF 137 I 195 consid. 2.3.2). Tel est le cas ici. En l'occurrence, la Chambre de céans a été nantie exclusivement des pièces essentielles énumérées au début de son consid. B. supra, transmises par le TMC et connues du recourant. Partant, non seulement les éventuelles constatations erronées du TMC auront été corrigées dans l'état de fait établi ci-devant, fondé sur ces seules pièces, mais encore son examen ne portera que sur ces faits. Le grief de violation de cette garantie formelle sera donc rejeté.</w:t>
      </w:r>
    </w:p>
    <w:p>
      <w:r>
        <w:rPr>
          <w:b/>
        </w:rPr>
        <w:t>E. 3</w:t>
      </w:r>
    </w:p>
    <w:p>
      <w:r>
        <w:t>Le recourant conteste l'existence de charges suffisantes.</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3.2</w:t>
      </w:r>
    </w:p>
    <w:p>
      <w:r>
        <w:t>En l'espèce, il ressort des constatations de la police et des différentes déclarations des protagonistes et témoins retranscrites par elle dans son rapport, qu'une altercation opposant cinq individus – E______ et F______, d'une part, et A______, D______ et C______, d'autre part – a eu lieu le soir du 23 février 2026 à J______, pour des motifs que l'instruction devra encore déterminer. Lors de celle-ci, E______ a été grièvement blessé par un objet tranchant sous l'aisselle gauche, vraisemblablement un couteau, étant précisé qu'il présentait également d'autres plaies au niveau du cou sur le côté gauche et au cuir chevelu. Selon ses déclarations, il s'était fait agresser par le trio A______, un ami de celui-ci et C______, les deux hommes étant venus vers lui et lui-</w:t>
      </w:r>
    </w:p>
    <w:p>
      <w:r>
        <w:t>- 10/13 - P/4812/2026 même ayant essayé de les repousser; à un moment donné l'ami de A______ lui avait sauté dessus et asséné un coup de couteau sous l'aisselle, ce qui lui avait fait perdre connaissance. Quant à F______, il a déclaré avoir été frappé sans raison par les deux hommes. Si, selon la police, l'auteur du ou des coups de couteau serait probablement D______, soit le petit ami de C______, la participation active du recourant à l'altercation semble établie, lui-même reconnaissant avoir frappé F______ depuis derrière. Il a en outre admis avoir (tout comme D______) "la rage" contre E______, dont il avait appris peu de temps auparavant qu'il aurait agressé sexuellement sa sœur, ce qui pourrait constituer un mobile. Ces éléments, ajoutés au fait que le recourant aurait quitté les lieux en courant selon des témoins (cf. rapport d'arrestation, p. 6), apparaissent ainsi suffisants en l'état pour fonder à l'endroit du recourant des soupçons suffisants de charges graves au sens de l'art. 221 al. 1 CPP.</w:t>
      </w:r>
    </w:p>
    <w:p>
      <w:r>
        <w:rPr>
          <w:b/>
        </w:rPr>
        <w:t>E. 4</w:t>
      </w:r>
    </w:p>
    <w:p>
      <w:r>
        <w:t>Le recourant conteste le risque de collusion.</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En l'occurrence, une audience de confrontation a été fixée au 14 avril prochain. Dans la mesure où le rôle et l'implication du recourant dans l'agression survenue ne sont pas clairs à ce stade, il est crucial qu'il ne puisse entrer en contact avec ses co- prévenus et les parties plaignantes qui seront entendus afin d'influencer leur récit. Il convient également d'éviter qu'il n'exerce des pressions sur eux et compromette ainsi la manifestation de la vérité.</w:t>
      </w:r>
    </w:p>
    <w:p>
      <w:r>
        <w:t>- 11/13 - P/4812/2026 Aucune mesure de substitution n'est à même de pallier ce risque, vu son intensité, et le recourant n'en propose du reste pas.</w:t>
      </w:r>
    </w:p>
    <w:p>
      <w:r>
        <w:rPr>
          <w:b/>
        </w:rPr>
        <w:t>E. 5</w:t>
      </w:r>
    </w:p>
    <w:p>
      <w:r>
        <w:t>L'admission du risque de collusion, indiscutable, dispense l'autorité de recours d'examiner si s'y ajoutent les risques – alternatifs – de fuite et de réitération (arrêts du Tribunal fédéral 7B_144/2025 du 24 mars 2025 consid. 3.3; 7B_188/2024 du 12 mars 2024 consid. 6.3.1 et 1B_197/2023 du 4 mai 2023 consid. 4.5).</w:t>
      </w:r>
    </w:p>
    <w:p>
      <w:r>
        <w:rPr>
          <w:b/>
        </w:rPr>
        <w:t>E. 6</w:t>
      </w:r>
    </w:p>
    <w:p>
      <w:r>
        <w:t>La durée de la mise en détention ordonnée respecte le principe de la proportionnalité, eu égard à la gravité des infractions reprochées au recourant et à la peine qu'il encourt concrètement si les faits devaient être retenus par l'autorité de jugement.</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w:t>
      </w:r>
    </w:p>
    <w:p>
      <w:r>
        <w:t>L'indemnité du défenseur d'office sera fixée à la fin de la procédure (art. 135 al. 2 CPP). * * * * *</w:t>
      </w:r>
    </w:p>
    <w:p>
      <w:r>
        <w:t>- 12/13 - P/4812/2026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