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ACPR/326/2024 vom 13. November 2023</w:t>
      </w:r>
    </w:p>
    <w:p>
      <w:r>
        <w:t>GE Cour de justice, 2023-11-13, FR</w:t>
      </w:r>
    </w:p>
    <w:p>
      <w:r>
        <w:rPr>
          <w:b/>
        </w:rPr>
        <w:t xml:space="preserve">Quelle: </w:t>
      </w:r>
      <w:r>
        <w:t>https://mcp.opencaselaw.ch/entscheid/ge_gerichte_ACPR_326_2024</w:t>
      </w:r>
    </w:p>
    <w:p>
      <w:r>
        <w:t>FR: GE_GERICHTE ACPR/326/2024 du 13 novembre 2023</w:t>
      </w:r>
    </w:p>
    <w:p>
      <w:r>
        <w:t>IT: GE_GERICHTE ACPR/326/2024 del 13 novembre 2023</w:t>
      </w:r>
    </w:p>
    <w:p>
      <w:pPr>
        <w:pStyle w:val="Heading2"/>
      </w:pPr>
      <w:r>
        <w:t>Erwägungen</w:t>
      </w:r>
    </w:p>
    <w:p>
      <w:r>
        <w:rPr>
          <w:b/>
        </w:rPr>
        <w:t>E. 1</w:t>
      </w:r>
    </w:p>
    <w:p>
      <w:r>
        <w:t>Les recours sont recevables pour avoir été déposés selon la forme et dans le délai prescrits (art. 385 al. 1 et 396 al. 1 CPP), concerner des décisions sujettes à recours auprès de la Chambre de céans (art. 393 al. 1 let. a CPP) et émaner des parties plaignantes, alternativement du prévenu, qui, parties à la procédure (art. 104 al. 1 let. a et b CPP), ont qualité pour agir, ayant un intérêt juridiquement protégé à la modification ou à l'annulation des décisions querellées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recours formés par C______ et A______ seront traités au moyen d'une unique décision de la Chambre de céans dans la mesure où les parties et les faits se trouvent dans un rapport de connexité étroit.</w:t>
      </w:r>
    </w:p>
    <w:p>
      <w:r>
        <w:rPr>
          <w:b/>
        </w:rPr>
        <w:t>E. 4.1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w:t>
      </w:r>
    </w:p>
    <w:p>
      <w:r>
        <w:rPr>
          <w:b/>
        </w:rPr>
        <w:t>E. 4.2</w:t>
      </w:r>
    </w:p>
    <w:p>
      <w:r>
        <w:t>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également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w:t>
      </w:r>
    </w:p>
    <w:p>
      <w:r>
        <w:t>- 8/15 - P/24616/2023 matière est exclue (Y. JEANNERET / A. KUHN / C. PERRIER DEPEURSINGE (éds), op.cit., n. 9 ad art. 310).</w:t>
      </w:r>
    </w:p>
    <w:p>
      <w:r>
        <w:rPr>
          <w:b/>
        </w:rPr>
        <w:t>E. 4.3</w:t>
      </w:r>
    </w:p>
    <w:p>
      <w:r>
        <w:t>Une non-entrée en matière doit également être prononcée lorsqu'il peut être renoncé à toute poursuite ou à toute sanction en vertu de dispositions légales (art. 310 al. 1 let. c cum 8 al. 1 CPP). Tel est notamment le cas si la culpabilité de l'auteur et les conséquences de son acte sont peu importantes (art. 52 CP).</w:t>
      </w:r>
    </w:p>
    <w:p>
      <w:r>
        <w:rPr>
          <w:b/>
        </w:rPr>
        <w:t>E. 5.1</w:t>
      </w:r>
    </w:p>
    <w:p>
      <w:r>
        <w:t>Au regard de l'art. 139 ch. 1 CP, commet un vol, quiconque, pour se procurer ou procurer à un tiers un enrichissement illégitime, soustrait une chose mobilière appartenant à autrui dans le but de se l'approprier.</w:t>
      </w:r>
    </w:p>
    <w:p>
      <w:r>
        <w:rPr>
          <w:b/>
        </w:rPr>
        <w:t>E. 5.2</w:t>
      </w:r>
    </w:p>
    <w:p>
      <w:r>
        <w:t>Quiconque, pour se procurer ou procurer à un tiers un enrichissement illégitime, s'approprie une chose mobilière appartenant à autrui se rend coupable d'appropriation illégitime (art. 137 ch. 1 CP). Cette infraction est notamment subsidiaire à l'art. 139 CP.</w:t>
      </w:r>
    </w:p>
    <w:p>
      <w:r>
        <w:rPr>
          <w:b/>
        </w:rPr>
        <w:t>E. 5.3</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L'astuce n'est toutefois pas réalisée si la dupe pouvait se protéger avec un minimum d'attention ou éviter l'erreur avec le minimum de prudence que l'on pouvait attendre d'elle (ATF 135 IV 76 consid. 5.2). Pour apprécier si l'auteur a usé d'astuce et si la dupe a omis de prendre les mesures de prudence élémentaires, il ne suffit pas de se demander comment une personne</w:t>
      </w:r>
    </w:p>
    <w:p>
      <w:r>
        <w:t>- 9/15 - P/24616/2023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128 IV 18 consid. 3a; arrêt du Tribunal fédéral 6B_1010/2018 du 22 janvier 2019 consid. 3.3.1).</w:t>
      </w:r>
    </w:p>
    <w:p>
      <w:r>
        <w:rPr>
          <w:b/>
        </w:rPr>
        <w:t>E. 5.4</w:t>
      </w:r>
    </w:p>
    <w:p>
      <w:r>
        <w:t>Dans son recours, C______ reproche au Ministère public de ne pas avoir instruit sa plainte pour appropriation illégitime, vol, ou encore escroquerie. Or, rien à teneur du dossier ne permet de soutenir ses allégations selon lesquelles A______ se serait emparé, sans droit, de la montre D______ et du clip, et/ou qu'il l'aurait astucieusement trompée pour qu'elle lui cède des bijoux à bas prix. En effet, il ressort des courriels échangés entre les parties après leur rencontre, ainsi que de la facture du 10 octobre 2023 produite par A______ que la recourante lui avait bel et bien vendu les objets précités. Dans celui du 13 octobre 2023, C______ disait à A______ qu'elle voulait le "rembourser" pour récupérer la totalité de ses biens, ou, à tout le moins, la montre de sa fille, la montre D______ et le clip, ce qui va dans le sens de ce qui précède. Si C______ fait valoir, dans son acte de recours, que la facture aurait été complétée a posteriori, aucun élément ne permet de corroborer, ou du moins de rendre vraisemblable, de telles allégations. En outre, A______ a expliqué que son intérêt portait uniquement sur la montre D______ et le clip, les autres objets n'ayant, selon lui, quasiment pas de valeur. Ses déclarations apparaissent crédibles dans la mesure où il ressort de la quittance de [l'établissement] I______ qu'il a revendu ces deux objets uniquement – pour une somme inférieure au prix encaissé le 10 octobre 2023 –, à l'exclusion du reste du lot. Aussi, et quand bien même A______ s'est contredit sur la question de savoir ce qu'il était advenu des bijoux, cet élément n'est pas déterminant dans la mesure où rien ne permet de rendre vraisemblable qu'il les aurait acquis pour un montant qui se trouverait en disproportion avec leur valeur réelle. La recourante ignore d'ailleurs la valeur desdits objets et n'articule aucune estimation. La montre D______ et le clip ayant été revendus, il ne paraît plus possible de substantifier ses accusations, une estimation de leur valeur sur la base des seules photographies produites paraissant irréalisable, à l'instar de l'avis exprimé par E______ SA. Partant, la valeur objective des bijoux vendus ne peut être déterminée – le contenu du lot étant au demeurant contesté –, de sorte que l'existence d'une lésion de C______ n'est pas rendue vraisemblable.</w:t>
      </w:r>
    </w:p>
    <w:p>
      <w:r>
        <w:t>- 10/15 - P/24616/2023 Quoi qu'il en soit, et même à admettre que la valeur d'estimation de A______ ait pu se situer en-deçà de la valeur réelle/objective des biens – ce qui n'est pas rendu vraisemblable –, rien ne permet de penser qu'il ait usé d'une quelconque tromperie ou astuce aux fins de déterminer les actes de la recourante – le fait que le terme "expert en horlogerie" figure sur l'annonce publicitaire n'étant pas suffisant à cet égard. L'âge avancé de la recourante n'est pas non plus suffisant en lui-même pour admettre l'existence de soupçons suffisants de la commission d'une infraction, dans la mesure où elle indique elle-même être parfaitement saine d'esprit et en pleine possession de ses moyens. D'ailleurs, dans le cadre de ses échanges avec A______, elle n'a jamais prétendu qu'il aurait pu tirer avantage de son âge, allant même jusqu'à dire qu'elle l'avait trouvé "très correct et plutôt honnête", ce qui va à l'encontre de ses accusations ultérieures. Enfin, on ne voit pas quels actes d'instruction permettraient au Ministère public de parvenir à une conclusion contraire, dès lors que les déclarations des parties sont contradictoires et qu'une confrontation n'apparait pas utile, la vraisemblance que les parties maintiennent leurs déclarations étant pratiquement certaine. De plus, il n'existe aucun témoin direct, la recourante ne prétendant pas que son employée de maison aurait pris part à la vente du 10 octobre 2023. Partant, la décision de non-entrée en matière rendue par le Ministère public à l'égard de A______ était justifiée.</w:t>
      </w:r>
    </w:p>
    <w:p>
      <w:r>
        <w:rPr>
          <w:b/>
        </w:rPr>
        <w:t>E. 6.1</w:t>
      </w:r>
    </w:p>
    <w:p>
      <w:r>
        <w:t>L'art. 303 ch. 1 CP réprime notamment du chef de dénonciation calomnieuse quiconque dénonce à l'autorité, comme auteur d'un crime ou d'un délit, une personne qu'il sait innocente, en vue de faire ouvrir contre elle une poursuite pénale.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Par ailleurs, l'auteur doit agir en vue de faire ouvrir une poursuite pénale contre la personne qu'il accuse injustement. Le dol éventuel suffit quant à cette intention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 Est considéré comme "innocent" celui qui a été libéré par un jugement d'acquittement ou par le prononcé d'un classement. Le juge de la dénonciation</w:t>
      </w:r>
    </w:p>
    <w:p>
      <w:r>
        <w:t>- 11/15 - P/24616/2023 calomnieuse est, sauf faits ou moyens de preuve nouveaux, lié par une telle décision (arrêt du Tribunal fédéral 6B_483/2020 du 13 octobre 2020 consid. 1.1.1).</w:t>
      </w:r>
    </w:p>
    <w:p>
      <w:r>
        <w:rPr>
          <w:b/>
        </w:rPr>
        <w:t>E. 6.2</w:t>
      </w:r>
    </w:p>
    <w:p>
      <w:r>
        <w:t>En l'espèce, A______ reproche au Ministère public d'avoir refusé d'entrer en matière sur sa plainte, alors que les conditions de l'infraction de dénonciation calomnieuse étaient remplies et que l'acte de C______ et ses conséquences étaient importants. En l'occurrence, la précitée a déposé plainte contre A______ pour s'être non seulement emparé d'objets qu'elle estimait ne pas lui avoir vendus, à savoir la montre D______ et le clip, mais également pour avoir, volontairement, sous-évalué la valeur des objets qui lui avaient été présentés. Lors de son audition, elle a précisé d'emblée ne pas avoir eu pour intention de vendre la montre D______ et le clip à A______, ce qui ressort également de leurs échanges. Il ne peut ainsi être exclu qu'elle ait cédé certains objets au recourant, y compris la montre D______ et le clip, dans la précipitation, pour le regretter ensuite. Cela est d'autant plus probable qu'elle pensait avoir affaire à un "expert en horlogerie", selon les termes de l'annonce publicitaire qu'elle avait reçue, ce qui a pu influencer son jugement au moment de la vente. Dans cette mesure, ses déclarations apparaissent crédibles. En outre, l'on comprend des échanges de courriels entre les parties et des déclarations de C______, qu'elle lui reprochait également de l'avoir "induite en erreur" et "trompée" sur la valeur et la qualité des bijoux présentés, ce qui peut avoir justifié, d'une part, sa volonté de se rétracter et, d'autre part, le dépôt de sa plainte. Le fait que C______ ait pu exprimer des regrets ensuite de la vente ne change rien aux développements qui précèdent dans la mesure où la dénonciation calomnieuse exige que l'auteur sache la personne dénoncée innocente, condition qui fait défaut dans le cas d'espèce, au vu du contenu des échanges de courriels entre les parties et des déclarations de la précitée à la police, lesquelles tendent à démontrer que C______ était convaincue d'avoir été victime du comportement de A______. De surcroît, dans la mesure où les déclarations des parties sont contradictoires et en l'absence d'élément de preuve objectif, on ne voit pas quel acte d'enquête pourrait permettre d'établir la culpabilité de C______, ce d'autant plus s'agissant d'une condition subjective. À cet égard, une confrontation n'apporterait rien pour les mêmes raisons qu'évoquées précédemment. À la lecture du dossier, il appert que C______ n'avait pas la conviction de l'innocence de A______ au moment du dépôt de sa plainte. Dans ces circonstances, une ordonnance de non-entrée en matière était justifiée.</w:t>
      </w:r>
    </w:p>
    <w:p>
      <w:r>
        <w:t>- 12/15 - P/24616/2023 Compte tenu du développement qui précède, le grief relatif à l'application de l'art. 52 CP n'a plus d'objet, de sorte qu'il ne sera pas examiné. En conclusion, la non-entrée en matière portant sur l'infraction à l'art. 303 CP doit être confirmée par substitution de motif.</w:t>
      </w:r>
    </w:p>
    <w:p>
      <w:r>
        <w:rPr>
          <w:b/>
        </w:rPr>
        <w:t>E. 7</w:t>
      </w:r>
    </w:p>
    <w:p>
      <w:r>
        <w:t>Le recourant conclut au versement d'une indemnité au sens de l'art. 429 CPP pour la procédure préliminaire.</w:t>
      </w:r>
    </w:p>
    <w:p>
      <w:r>
        <w:rPr>
          <w:b/>
        </w:rPr>
        <w:t>E. 7.1</w:t>
      </w:r>
    </w:p>
    <w:p>
      <w:r>
        <w:t>En cas de refus d'entrer en matière, le prévenu peut prétendre à l'octroi de dépens au sens de l'art. 429 al. 1 let. a CPP (ATF 139 IV 241 consid. 1). Encore faut- il que l'assistance d'un avocat ait été nécessaire. Pour déterminer si tel est le cas, l’on gardera à l'esprit que le droit pénal (matériel et de procédure) est complexe et représente, pour des personnes qui ne sont pas habituées à procéder, une source de difficultés; celui qui se défend seul est susceptible d'être moins bien loti. L’on doit donc tenir compte, outre de la gravité de l'infraction et de la complexité de l'affaire en fait et/ou en droit, de la durée de la procédure ainsi que de son impact sur la vie personnelle et professionnelle du prévenu (ATF 142 IV 45 consid. 2.1; arrêt du Tribunal fédéral 6B_706/2021 du 20 décembre 2021 consid. 2.1.1). Le Tribunal fédéral a considéré que l’intervention d’un avocat n’avait pas lieu d’être dans les occurrences suivantes: une affaire de dommages à la propriété où le prévenu et un tiers avaient été entendus par la police, le ministère public ayant rendu, à cette suite, une ordonnance de non-entrée en matière (arrêt du Tribunal fédéral 6B_1121/2014 du 29 janvier 2015 consid. 3.2 et 3.3); une procédure ouverte pour atteinte à l’honneur ayant donné lieu à deux audiences d’instruction et une tentative de conciliation, avant d’être classée (arrêt du Tribunal fédéral 6B_458/2014 du 25 septembre 2014 consid. 2.4); un cas de dommages à la propriété clos par une ordonnance de non-entrée en matière, après une seule audition du prévenu par la police (arrêt du Tribunal fédéral 6B_387/2013 du 8 juillet 2013 consid. 2.2 non publié aux ATF 139 IV 241).</w:t>
      </w:r>
    </w:p>
    <w:p>
      <w:r>
        <w:rPr>
          <w:b/>
        </w:rPr>
        <w:t>E. 7.2</w:t>
      </w:r>
    </w:p>
    <w:p>
      <w:r>
        <w:t>En l'espèce, le recourant s'est vu reprocher la commission d'infractions patrimoniales, soit notamment une escroquerie, laquelle constitue une infraction grave au sens du code pénal. Pour autant, il a participé à un seul acte de procédure, à savoir son audition par la police, laquelle a duré moins d'une heure, avant que le Ministère public ne rende une ordonnance de non-entrée en matière. L'affaire ne présentait, au stade de cette audition, pas de complexité particulière. En effet, les actes reprochés au recourant étaient circonscrits à un événement particulier, soit la vente conclue au domicile de C______ le 10 octobre 2023, et son rôle se limitait, à ce stade de la procédure, à répondre aux questions posées par la police, pour lesquelles aucune connaissance</w:t>
      </w:r>
    </w:p>
    <w:p>
      <w:r>
        <w:t>- 13/15 - P/24616/2023 juridique n'étant nécessaire. Il a d'ailleurs parfaitement été en mesure d'y répondre de manière claire et précise, qui plus est, semble-t-il, sans le concours de son avocat. En outre, rien ne lui permettait de penser que sa version des faits aurait pu être considérée comme peu crédible s'il n'était pas assisté d'un avocat. À cet égard, le fait que le recourant fasse partie de la communauté des gens du voyage et/ou qu'il ait des antécédents judiciaires n'y change rien. À cela s'ajoute que la procédure a été de très courte durée, une ordonnance de non-entrée en matière ayant été rendue, s'agissant des faits qui lui étaient reprochés, seulement une semaine après son audition, et que le recourant n'a fait état d'aucune répercussion de celle-là sur sa vie professionnelle et/ou privée. Dans ce contexte, l'intervention d'un avocat était prématurée et, partant, objectivement non nécessaire. Le recourant ne peut donc prétendre que l'État l'indemnise pour la procédure préliminaire. Partant, il ne peut être fait grief au Ministère public de ne pas lui avoir alloué d'indemnité pour la procédure préliminaire. Infondé, le recours doit être rejeté sur ce point également.</w:t>
      </w:r>
    </w:p>
    <w:p>
      <w:r>
        <w:rPr>
          <w:b/>
        </w:rPr>
        <w:t>E. 8</w:t>
      </w:r>
    </w:p>
    <w:p>
      <w:r>
        <w:t>Justifiées, les décisions querellées seront donc confirmées.</w:t>
      </w:r>
    </w:p>
    <w:p>
      <w:r>
        <w:rPr>
          <w:b/>
        </w:rPr>
        <w:t>E. 9</w:t>
      </w:r>
    </w:p>
    <w:p>
      <w:r>
        <w:t>Les recourants, qui succombent, supporteront, chacun par moitié, les frais de la procédure de recours arrêtés à CHF 1'800.- (art. 428 al. 1 CPP et 13 al. 1 du Règlement fixant le tarif des frais en matière pénale, RTFMP ; E 4 10.03).</w:t>
      </w:r>
    </w:p>
    <w:p>
      <w:r>
        <w:rPr>
          <w:b/>
        </w:rPr>
        <w:t>E. 10</w:t>
      </w:r>
    </w:p>
    <w:p>
      <w:r>
        <w:t>Corrélativement, aucun dépens ne leur sera alloué (ATF 144 IV 207 consid. 1.8.2). * * * * *</w:t>
      </w:r>
    </w:p>
    <w:p>
      <w:r>
        <w:t>- 14/15 - P/24616/2023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