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ACPR/326/2022 vom 6. Mai 2022</w:t>
      </w:r>
    </w:p>
    <w:p>
      <w:r>
        <w:t>GE Cour de justice, 2022-05-06, FR</w:t>
      </w:r>
    </w:p>
    <w:p>
      <w:r>
        <w:rPr>
          <w:b/>
        </w:rPr>
        <w:t xml:space="preserve">Quelle: </w:t>
      </w:r>
      <w:r>
        <w:t>https://mcp.opencaselaw.ch/entscheid/ge_gerichte_ACPR_326_2022</w:t>
      </w:r>
    </w:p>
    <w:p>
      <w:r>
        <w:t>FR: GE_GERICHTE ACPR/326/2022 du 6 mai 2022</w:t>
      </w:r>
    </w:p>
    <w:p>
      <w:r>
        <w:t>IT: GE_GERICHTE ACPR/326/2022 del 6 maggio 2022</w:t>
      </w:r>
    </w:p>
    <w:p>
      <w:pPr>
        <w:pStyle w:val="Heading2"/>
      </w:pPr>
      <w:r>
        <w:t>Erwägungen</w:t>
      </w:r>
    </w:p>
    <w:p>
      <w:r>
        <w:rPr>
          <w:b/>
        </w:rPr>
        <w:t>E. 1</w:t>
      </w:r>
    </w:p>
    <w:p>
      <w:r>
        <w:t>Les recourants ont déposé six recours, dirigés contre neuf décisions distinctes, mais qui concernent un complexe de faits identique. Il se justifie ainsi, par économie de procédure, de les joindre et de les traiter par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des plaignants qui, parties à la procédure (art. 104 al. 1 let. b CPP), ont qualité pour agir, ayant un intérêt juridiquement protégé à la modification ou à l'annulation des décisions querellées (art. 382 al. 1 CPP).</w:t>
      </w:r>
    </w:p>
    <w:p>
      <w:r>
        <w:rPr>
          <w:b/>
        </w:rPr>
        <w:t>E. 3</w:t>
      </w:r>
    </w:p>
    <w:p>
      <w:r>
        <w:t>Certains recourants invoquent une constatation erronée et incomplète des faits par l'autorité précédente. Dès lors que la Chambre de céans jouit d'un plein pouvoir de cognition en droit et en fait (art. 393 al. 2 CPP ; ATF 141 IV 396 consid. 4.4 p. 405), les éventuelles constatations incomplètes ou inexactes du Ministère public auront été corrigées dans l'état de fait établi ci-devant. Partant, le grief y relatif sera rejeté.</w:t>
      </w:r>
    </w:p>
    <w:p>
      <w:r>
        <w:t>- 12/20 - P/15914/2020</w:t>
      </w:r>
    </w:p>
    <w:p>
      <w:r>
        <w:rPr>
          <w:b/>
        </w:rPr>
        <w:t>E. 4</w:t>
      </w:r>
    </w:p>
    <w:p>
      <w:r>
        <w:t>Sans formuler de grief clair, les recourants semblent se plaindre d'une violation du principe de la célérité et de leur droit d'être entendus.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3e éd., Zurich 2018, n. 8 ad art. 309). La décision visée par l'art. 310 al. 1 CPP n'est pas soumise à un délai (ACPR/372/2011 du 14 décembre 2011 ; Y. JEANNERET / A. KUHN / C. PERRIER DEPEURSINGE (éds), Commentaire romand : Code de procédure pénale suisse, 2ème éd., Bâle 2019, n. 4 ad art. 310). 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 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4.2</w:t>
      </w:r>
    </w:p>
    <w:p>
      <w:r>
        <w:t>En l'occurrence, le fait que les ordonnances querellées aient été rendues plus d'un an après le dépôt des plaintes pénales n'est pas, à lui seul, suffisant pour être constitutif d'une violation du principe de la célérité, dans la mesure où le prononcé desdites décisions n'est soumis à aucun délai.</w:t>
      </w:r>
    </w:p>
    <w:p>
      <w:r>
        <w:t>- 13/20 - P/15914/2020 Pour le surplus, la procédure n'ayant, en l'état, pas dépassé la phase des premières investigations, le Ministère public était dispensé d'entendre les recourants avant de prononcer ses décisions querellées. En tout état, ces derniers ont pu faire valoir devant la Chambre de céans les arguments qu'ils estimaient pertinents, de sorte que leur droit d'être entendus a été pleinement respecté.</w:t>
      </w:r>
    </w:p>
    <w:p>
      <w:r>
        <w:rPr>
          <w:b/>
        </w:rPr>
        <w:t>E. 5</w:t>
      </w:r>
    </w:p>
    <w:p>
      <w:r>
        <w:t>Les recourants font grief au Ministère public d'avoir refusé d'entrer en matière sur leurs plaintes.</w:t>
      </w:r>
    </w:p>
    <w:p>
      <w:r>
        <w:rPr>
          <w:b/>
        </w:rPr>
        <w:t>E. 5.1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5.2</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L'extorsion et le chantage, réprimés par l'art. 156 CP, sont une forme qualifiée de contrainte, caractérisée par la recherche d'un enrichissement illégitime. La doctrine précise que le dessein d'enrichissement illégitime fait défaut lorsque l'auteur est titulaire d'une créance à l'égard de la personne visée ou croit être titulaire</w:t>
      </w:r>
    </w:p>
    <w:p>
      <w:r>
        <w:t>- 14/20 - P/15914/2020 d'une créance à son encontre. Dans un tel cas, seule la contrainte entre en ligne de compte (M. DUPUIS / L. MOREILLON / C. PIGUET / S. BERGER / M. MAZOU / V. RODIGARI (éds), Code pénal - Petit commentaire, 2e éd., Bâle 2017, n. 19 ad art. 156 CP et les références citées). 5.3.1.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 Certes, faire notifier un commandement de payer lorsqu'on est fondé à réclamer une somme est licite. En revanche, utiliser un tel procédé comme moyen de pression est clairement abusif, donc illicite (arrêts du Tribunal fédéral 6B_8/2017 du 15 août 2017 consid. 2.1 et 2.2; 6B_378/2016 du 15 décembre 2016 consid. 2.1 et 2.2). 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t>- 15/20 - P/15914/2020 5.3.2. 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du 15 août 2017 consid. 2.2; cf. également les faits à la base de l'arrêt du Tribunal fédéral 6S.853/2000 du 9 mai 2001).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La Chambre de céans a, en revanche, retenu dans la P/4______/2020 évoquée par les recourants (cf. B.k. supra) que faire l'objet de commandements de payer d'un montant de CHF 99'431.50 n'était pas propre à entraver la liberté de décision d'acteurs chevronnés du milieu immobilier et rompus aux affaires (ACPR/63/2021 du 1er février 2021 consid. 2.6). Ainsi, le fondement de la créance invoquée, le montant indiqué sur le commandement de payer et le contexte de sa notification sont autant d'éléments pertinents dans l'appréciation des circonstances du cas d'espèce (cf. R. JORDAN, Les poursuites injustifiées: point de situation, in Revue de l'avocat 2017 p. 131 s. et les arrêts cités).</w:t>
      </w:r>
    </w:p>
    <w:p>
      <w:r>
        <w:rPr>
          <w:b/>
        </w:rPr>
        <w:t>E. 5.4</w:t>
      </w:r>
    </w:p>
    <w:p>
      <w:r>
        <w:t>À teneur de l'art. 55 CC, la volonté d'une personne morale s'exprime par ses organes (al. 1). Ceux-ci obligent la personne morale par leurs actes juridiques et par tous autres faits (al 2). L'art. 55 al. 3 CC détermine dans quels cas l'on peut aussi s'en prendre directement, à côté de la personne morale, aux personnes physiques qui agissent pour elle en tant qu'organes. Là où cette responsabilité directe existe, le lésé a sans exception un droit d'action directe. La responsabilité personnelle n'existe toutefois que pour les actes illicites, non pas pour les violations d'une obligation contractuelle (A. BRACONI/ B. CARRON/ S. GAURON-CARLIN, Code Civil Suisse et Code des Obligations annotés, Bâle 2020, ad art. 55 al. 3 CC, p.64). 5.5.1. En l'occurrence, pour justifier les réquisitions de poursuite, K______ se réfère au litige résultant du contrat d'entreprise générale du 27 août 2015, et qui a conduit sa société à déposer auprès du TPI une requête de preuve à futur ainsi qu'une demande en paiement, précédée de requêtes de conciliation, à l'encontre notamment des recourants. Il existe, il est vrai, un lien suffisant entre la créance invoquée par J_____</w:t>
      </w:r>
    </w:p>
    <w:p>
      <w:r>
        <w:t>- 16/20 - P/15914/2020 SA dans ses réquisitions de poursuite – sans qu'il n'appartienne aux autorités pénales de décider si ladite créance est fondée ou non, cette question étant de nature civile –, et le montant réclamé. Cela étant, à la lecture des pièces versées au dossier, le contrat d'entreprise générale ne liait que J_____ SA aux maîtres d'ouvrage, à savoir F______ et N______ SA. Par ailleurs, la facture finale émise dans ce cadre – à l'origine des poursuites litigieuses –, était libellée aux noms des maîtres d'ouvrage uniquement. Pour le surplus, ces derniers sont les seuls à avoir été assignés par la société mise en cause dans la procédure de preuve à futur actuellement pendante devant le TPI. J_____ SA est donc créancière des maîtres d'ouvrage, et non de G______, H______ et I______, étant rappelé que les administrateurs d'une société ne répondent pas personnellement des dettes contractées par celle-ci. J_____ SA ne dispose pas non plus de créance directe à l'encontre de M______ SA – ni a fortiori contre ses administrateurs et directeurs –, dans la mesure où ces deux sociétés n'étaient pas liées contractuellement. K______ n'en disconvient du reste pas, étant relevé qu'il n'a pas introduit de poursuite contre M______ SA. Pour le surplus, D______, E______ et C______ sont, respectivement, directeur des finances et des opérations, directeur de la gérance à Genève et directrice des ressources humaines auprès de M______ SA, de sorte que l'on peine à discerner comment J_____ SA disposerait d'une créance contre eux, en lien avec le projet de construction litigieux. Pour justifier le dépôt des poursuites contre les précités, K______ explique les tenir pour légalement responsables de la somme due, en raison de leur qualité d'organes des sociétés précitées, et ce en vertu de l'art. 55 al. 3 CC. Force est cependant de constater qu'il n'a jusqu'ici nullement décrit quels actes illicites ces derniers auraient commis pour que leur responsabilité personnelle soit engagée en lien avec le projet litigieux. Le fait de contester une facture finale ne constitue pas un acte illicite, étant rappelé que la violation d'une obligation contractuelle par une société n'est pas suffisante pour fonder une responsabilité pénale des organes ayant agi pour elle. Dans ces circonstances, s'il faut rappeler que le bien-fondé des prétentions de J_____ SA relève des juridictions civiles, les poursuites introduites contre G______, H______, I______ et à l'encontre des administrateurs et directeurs de M______ SA, à titre personnel, apparaissent en l'état douteuses, puisque ces derniers n'avaient aucun rapport contractuel avec la société mise en cause. Le fait que la Chambre de Surveillance ait écarté, en vertu de la LP, tout abus de droit de la part de J_____ SA n'exclut pas, sous l'angle pénal, la commission d'une tentative de contrainte. Dans le cadre du litige similaire concernant la société mise en cause (ACPR/63/2021 susmentionné), la Chambre de céans a en outre déjà eu l'occasion de rappeler que la responsabilité personnelle d'administrateurs d'une société n'était pas engagée lorsque</w:t>
      </w:r>
    </w:p>
    <w:p>
      <w:r>
        <w:t>- 17/20 - P/15914/2020 le contrat n'était conclu qu'avec cette société. Dans cette affaire, elle avait toutefois considéré que des commandements de payer d'un montant de CHF 99'431.50 n'étaient pas propres à entraver la liberté de décision des plaignants. Le cas d'espèce diffère toutefois sensiblement du précédent, puisque la notification de commandements de payer portant sur un montant de CHF 1'798'512.78 est de nature à inciter une personne de sensibilité moyenne à céder à la volonté de la poursuivante et propre à tourmenter notablement les destinataires. Dans le cas présent, la notification de commandements de payer à autant de personnes étrangères à la relation contractuelle – qui plus est pour un montant laissant craindre un dommage sérieux – pourrait résulter d'une volonté de créer une pression, dans l'entourage du réel débiteur, destinée à briser sa résistance.</w:t>
      </w:r>
    </w:p>
    <w:p>
      <w:r>
        <w:t>En définitive, en ce qui concerne G______, H______, I______, A______, B______, D______, C______ et E______, les éléments actuellement au dossier ne permettent pas d'exclure, sous l'angle du principe in dubio pro duriore, l'existence d'une prévention pénale de tentative de contrainte. La cause sera dès lors retournée au Ministère public pour l'ouverture d'une instruction sur ce point, à charge pour lui de mener les actes d'enquête utiles, notamment une audience de confrontation entre les parties. 5.5.2. Il pourrait en aller différemment pour F______, puisque celui-ci est directement signataire du contrat litigieux, et partant débiteur de la société mise en cause, ce qu'il ne conteste au demeurant pas. Ainsi, en initiant la procédure usuelle de recouvrement d'une prétention pécuniaire, J_____ SA a agi à son égard de manière licite. Le fait que le recourant conteste le montant de la créance n'est pas déterminant. Toute autre réponse aurait en effet pour conséquence d'entraver, voire de paralyser, sous couvert de contrainte pénalement qualifiée, le recouvrement forcé d'une créance au motif qu'elle est contestée. Tel ne peut être le but de l'art. 181 CP. La seule importance du commandement de payer – CHF 1'798'512.78 – ne suffit pas non plus, à elle seule, à constituer un délit, sauf à empêcher de pouvoir recouvrer une créance au-delà d'un certain montant. Reste que, en l'état, il existe un soupçon suffisant que, par l'envoi de commandements de payer, non seulement à F______, mais à toutes les autres personnes susmentionnées, comprenant des membres de la famille du précité, la société mise en cause, par le biais de son administrateur, ait voulu mettre en place un moyen de pression destiné à infléchir ce débiteur. La poursuite qui, isolée, n'aurait</w:t>
      </w:r>
    </w:p>
    <w:p>
      <w:r>
        <w:t>- 18/20 - P/15914/2020 pas eu de connotation pénale, apparaît ici, cumulée aux autres poursuites, objectivement de nature à entraver la liberté de décision de F______. Dans ce contexte, il existe, par conséquent, une prévention pénale suffisante de tentative de contrainte au détriment de ce plaignant également. 5.5.3. Enfin, au regard de ce qui a été développé précédemment, et conformément aux principes sus-rappelés, la tentative d'extorsion (art. 22 cum 156 CP) alléguée par les recourants doit être écartée. J_____ SA estime, en effet, être titulaire d'une créance envers les recourants, laquelle fait d'ailleurs l'objet d'une demande en paiement devant le TPI. Par conséquent, l'élément constitutif, nécessaire, du dessein d'enrichissement illégitime fait défaut. Partant, ce grief sera rejeté.</w:t>
      </w:r>
    </w:p>
    <w:p>
      <w:r>
        <w:rPr>
          <w:b/>
        </w:rPr>
        <w:t>E. 6</w:t>
      </w:r>
    </w:p>
    <w:p>
      <w:r>
        <w:t>Partiellement fondés, les recours seront admis. Les neuf ordonnances de non-entrée en matière seront annulées en tant qu'elles concernent l'infraction à l'art. 181 CP et la cause renvoyée au Ministère public pour l'ouverture d'une instruction pour tentative de contrainte. Les recours seront rejetés pour le surplus.</w:t>
      </w:r>
    </w:p>
    <w:p>
      <w:r>
        <w:rPr>
          <w:b/>
        </w:rPr>
        <w:t>E. 7</w:t>
      </w:r>
    </w:p>
    <w:p>
      <w:r>
        <w:t>Les recourants, qui n'obtiennent que partiellement gain de cause, supporteront conjointement et solidairement la moitié des frais de la procédure de recours, fixés en totalité à CHF 6'500.-, soit CHF 3'250.- (art. 428 al. 1 CPP et 13 al. 1 du Règlement fixant le tarif des frais en matière pénale, RTFMP; E 4 10.03), le solde (CHF 3'250.-) étant laissé à la charge de l'État. Le montant dû sera prélevé sur les sûretés versées et le solde restitué.</w:t>
      </w:r>
    </w:p>
    <w:p>
      <w:r>
        <w:rPr>
          <w:b/>
        </w:rPr>
        <w:t>E. 8</w:t>
      </w:r>
    </w:p>
    <w:p>
      <w:r>
        <w:t>Représentés par des avocats, les recourants, plaignants, n'ont pas chiffré ni justifié de prétentions en indemnité au sens de l'art. 433 al. 2 CPP, applicable en instance de recours (art. 436 al. 1 CPP), de sorte qu'il ne leur en sera point alloué (arrêt du Tribunal fédéral 6B_1345/2016 du 30 novembre 2017 consid. 7.2).</w:t>
      </w:r>
    </w:p>
    <w:p>
      <w:r>
        <w:t>* * * * *</w:t>
      </w:r>
    </w:p>
    <w:p>
      <w:r>
        <w:t>- 19/20 - P/15914/2020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