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ACPR/326/2021 vom 18. Mai 2021</w:t>
      </w:r>
    </w:p>
    <w:p>
      <w:r>
        <w:t>GE Cour de justice, 2021-05-18, FR</w:t>
      </w:r>
    </w:p>
    <w:p>
      <w:r>
        <w:rPr>
          <w:b/>
        </w:rPr>
        <w:t xml:space="preserve">Quelle: </w:t>
      </w:r>
      <w:r>
        <w:t>https://mcp.opencaselaw.ch/entscheid/ge_gerichte_ACPR_326_2021</w:t>
      </w:r>
    </w:p>
    <w:p>
      <w:r>
        <w:t>FR: GE_GERICHTE ACPR/326/2021 du 18 mai 2021</w:t>
      </w:r>
    </w:p>
    <w:p>
      <w:r>
        <w:t>IT: GE_GERICHTE ACPR/326/2021 del 18 maggio 2021</w:t>
      </w:r>
    </w:p>
    <w:p>
      <w:pPr>
        <w:pStyle w:val="Heading2"/>
      </w:pPr>
      <w:r>
        <w:t>Erwägungen</w:t>
      </w:r>
    </w:p>
    <w:p>
      <w:r>
        <w:rPr>
          <w:b/>
        </w:rPr>
        <w:t>E. 1</w:t>
      </w:r>
    </w:p>
    <w:p>
      <w:r>
        <w:t>Le recours est recevable pour avoir été déposé selon la forme et dans le délai prescrits – faute de notification conforme à l'art. 85 al. 2 CPP – (art. 385 al. 1 et 396 al. 1 CPP), concerner une ordonnance sujette à recours auprès de la Chambre de céans (art. 393 al. 1 let. a CPP) et émaner du plaingant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être entré en matière sur sa plainte pénale.</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"in dubio pro duriore" découle du principe de la légalité (art. 5 al. 1 Cst. et 2 al. 2 CPP en relation avec les art. 319 al. 1 et 324 CPP ; ATF 138 IV 86 consid. 4.2 ; arrêt du Tribunal fédéral 6B_185/2016 du 30 novembre 2016 consid. 2.1.2). Il signifie qu'en principe, un classement ou une non-entrée en matière ne peuvent être</w:t>
      </w:r>
    </w:p>
    <w:p>
      <w:r>
        <w:t>- 4/7 - P/3822/2021 prononcés par le ministère public que lorsqu'il apparaît clairement que les faits ne sont pas punissables ou que les conditions à la poursuite pénale ne sont pas remplies.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3.2</w:t>
      </w:r>
    </w:p>
    <w:p>
      <w:r>
        <w:t>Se rend coupable de contrainte selon l'art. 181 CP celui qui, en usant de violence envers une personne ou en la menaçant d'un dommage, ou en l'entravant de quelque autre manière dans sa liberté d'action, l'aura obligée à faire, ne pas faire ou à laisser faire un acte. La contrainte exercée par l'auteur doit amener sa victime à faire, à s'abstenir ou à tolérer et ceci contre sa volonté. Lorsque la victime ne se laisse pas intimider et n'adopte pas le comportement voulu par l'auteur, ce dernier est punissable pour tentative de contrainte (art. 22 CP ; ATF 129 IV 262 consid. 2.7 JdT 2005 IV 207).</w:t>
      </w:r>
    </w:p>
    <w:p>
      <w:r>
        <w:rPr>
          <w:b/>
        </w:rPr>
        <w:t>E. 3.3</w:t>
      </w:r>
    </w:p>
    <w:p>
      <w:r>
        <w:t>L'instigation est le fait de décider intentionnellement autrui à commettre une infraction intentionnelle. Si l'infraction a été commise, l'instigateur encourt la peine applicable à l'auteur de cette infraction (art. 24 al. 1 CP).</w:t>
      </w:r>
    </w:p>
    <w:p>
      <w:r>
        <w:rPr>
          <w:b/>
        </w:rPr>
        <w:t>E. 3.4</w:t>
      </w:r>
    </w:p>
    <w:p>
      <w:r>
        <w:t>La contrainte peut être réalisée par la somme de plusieurs comportements distincts de l'auteur, par exemple lorsque celui-ci importune sa victime par sa présence de manière répétée pendant une période prolongée (cf. au sujet de la notion de "stalking" ou harcèlement obsessionnel : ATF 141 IV 437 consid. 3.2.2; 129 IV 262 consid. 2.3-2.5).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Si le simple renvoi à un "ensemble d'actes" très divers commis sur une période étendue par l'auteur, respectivement à une modification par la victime "de ses habitudes de vie" ne suffit pas, faute de mettre en évidence de manière suffisamment précise quel comportement a pu entraîner quel résultat à quel moment (ATF 129 IV 262 consid. 2.4), l'intensité requise par l'art. 181 CP peut néanmoins résulter du cumul de comportements divers ou de la répétition de comportements identiques sur une durée prolongée (cf. ATF 141 IV 437 consid. 3.2.2; arrêt du Tribunal fédéral 6B_568/2019 du 17 septembre 2019 consid. 4.1).</w:t>
      </w:r>
    </w:p>
    <w:p>
      <w:r>
        <w:t>- 5/7 - P/3822/2021 La contrainte n'est contraire au droit que si elle est illicite, notamment parce que le moyen est disproportionné pour atteindre le but visé (arrêt du Tribunal fédéral 6B_559/2020 du 23 septembre 2020 consid. 1.1).</w:t>
      </w:r>
    </w:p>
    <w:p>
      <w:r>
        <w:rPr>
          <w:b/>
        </w:rPr>
        <w:t>E. 3.5</w:t>
      </w:r>
    </w:p>
    <w:p>
      <w:r>
        <w:t>En l’espèce, le recourant a déposé plainte pour "insultes", mais rien dans l’exposé des faits, tant à l’appui de la plainte que du recours, ne remplit les conditions d’une injure (art. 177 CP), de sorte que cette infraction n’est manifestement pas réalisée. L’infraction de "violation de la sphère privée" n’existe pas en tant que telle. Le recourant ne faisant pas état d’une intrusion dans sa sphère privée par l'ouverture de pli ou colis fermé, ni d'avoir été filmé, enregistré ou pris en photo, les infractions visées aux art. 179ss. CP ne paraissent pas réalisées non plus. Il reproche à son épouse de l'avoir "fait suivre". Le fait d’être suivi par un tiers peut, dans certaines circonstances, remplir les conditions d’une contrainte, ou à tout le moins d’une tentative, mais les faits décrits par le recourant ne revêtent pas l’intensité retenue par la jurisprudence sus-visée. L’individu se serait approché très près de lui et, après qu'il s’était retourné, s’était éloigné. Que le but de la manœuvre ait été de regarder par-dessus l’épaule du recourant pour y voir le montant de ses achats n’est pas constitutif d’une infraction pénale, étant d’ailleurs relevé que, souvent, les caissiers et caissières annoncent à haute voix la somme à payer, de sorte que cette information aurait, le cas échéant, aussi pu avoir été divulguée de cette manière. Que l’homme ait pu agir pour le compte de la mise en cause n’y change rien. Dans cette configuration, l’épouse du recourant aurait pu revêtir le rôle d’instigatrice, mais, faute de prévention pénale suffisante de la commission d'une contrainte, sa participation est, ici, sans pertinence. Le recourant relève que la mise en cause l'aurait déjà fait suivre à deux autres reprises par le passé. Le temps écoulé entre chacun des événements évoqués ne remplit toutefois pas l’intensité nécessaire à la réalisation d’une contrainte. De même, l’éventuelle interdiction d’approcher le recourant – que ce dernier ne justifie pas par pièces – vise la mise en cause. Or, le recourant ne prétend pas qu'elle était présente dans le magasin. L'acte d'enquête requis (soit le visionnement de la vidéosurveillance du magasin) n'est pas de nature à modifier les conclusions qui précèdent, puisque, même si les images devaient confirmer les faits décrits par le recourant, ils ne seraient pas, comme on l'a vu, constitutifs d'une infraction.</w:t>
      </w:r>
    </w:p>
    <w:p>
      <w:r>
        <w:rPr>
          <w:b/>
        </w:rPr>
        <w:t>E. 5</w:t>
      </w:r>
    </w:p>
    <w:p>
      <w:r>
        <w:t>Justifiée, l'ordonnance querellée sera donc confirmée.</w:t>
      </w:r>
    </w:p>
    <w:p>
      <w:r>
        <w:rPr>
          <w:b/>
        </w:rPr>
        <w:t>E. 6</w:t>
      </w:r>
    </w:p>
    <w:p>
      <w:r>
        <w:t>Le recourant, qui succombe, supportera les frais envers l'État, fixés en totalité à CHF 900.- (art. 428 al. 1 CPP et 13 al. 1 du Règlement fixant le tarif des frais en matière pénale, RTFMP ; E 4 10.03).</w:t>
      </w:r>
    </w:p>
    <w:p>
      <w:r>
        <w:t>- 6/7 - P/3822/2021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