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ACPR/324/2024 vom 18. April 2024</w:t>
      </w:r>
    </w:p>
    <w:p>
      <w:r>
        <w:t>GE Cour de justice, 2024-04-18, FR</w:t>
      </w:r>
    </w:p>
    <w:p>
      <w:r>
        <w:rPr>
          <w:b/>
        </w:rPr>
        <w:t xml:space="preserve">Quelle: </w:t>
      </w:r>
      <w:r>
        <w:t>https://mcp.opencaselaw.ch/entscheid/ge_gerichte_ACPR_324_2024</w:t>
      </w:r>
    </w:p>
    <w:p>
      <w:r>
        <w:t>FR: GE_GERICHTE ACPR/324/2024 du 18 avril 2024</w:t>
      </w:r>
    </w:p>
    <w:p>
      <w:r>
        <w:t>IT: GE_GERICHTE ACPR/324/2024 del 18 aprile 2024</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Le recours au sens de l'art. 393 CPP est la voie de droit ouverte contre les prononcés rendus par le TAPEM en matière de libération conditionnelle (art. 42 al. 1 let. b LaCP cum ATF 141 IV 187 consid. 1.1 et les références citées).</w:t>
      </w:r>
    </w:p>
    <w:p>
      <w:r>
        <w:rPr>
          <w:b/>
        </w:rPr>
        <w:t>E. 1.3</w:t>
      </w:r>
    </w:p>
    <w:p>
      <w:r>
        <w:t>La procédure devant la Chambre de céans est régie par le CPP, applicable au titre de droit cantonal supplétif (art. 42 al. 2 LaCP).</w:t>
      </w:r>
    </w:p>
    <w:p>
      <w:r>
        <w:rPr>
          <w:b/>
        </w:rPr>
        <w:t>E. 1.4</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remplir les conditions d'une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w:t>
      </w:r>
    </w:p>
    <w:p>
      <w:r>
        <w:t>- 7/11 - PM/310/2024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w:t>
      </w:r>
    </w:p>
    <w:p>
      <w:r>
        <w:rPr>
          <w:b/>
        </w:rPr>
        <w:t>E. 3.2</w:t>
      </w:r>
    </w:p>
    <w:p>
      <w:r>
        <w:t>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3.3</w:t>
      </w:r>
    </w:p>
    <w:p>
      <w:r>
        <w:t>En l'espèce, la condition objective d'une libération conditionnelle est réalisée depuis le 8 avril 2024. Seul le préavis de la prison est favorable. Les préavis du SAPEM et du Ministère public sont défavorables. Il ne peut être dit que le comportement du recourant en détention a donné entière satisfaction, puisque ce dernier a refusé de travailler dès sa première journée d'affectation à l'atelier livres le 4 janvier 2024. Il cumule, du 8 mai 2013 au 17 juin 2022, pas moins de onze condamnations, essentiellement pour des infractions à la LCR, mais aussi contre le patrimoine, notamment avec usage de la violence (brigandage) et à la LArm. Il n'a pas su tirer profit de peines pécuniaires assorties du sursis ni n'a appris de courtes peines privatives de liberté. Contrairement à ce qu'il soutient, il a été condamné au-delà du délai d'épreuve d'une année après sa libération conditionnelle du 3 avril 2019, et ce à six reprises (les 9 septembre et 9 novembre 2020, 9 juin 2021, 15 novembre 2021,</w:t>
      </w:r>
    </w:p>
    <w:p>
      <w:r>
        <w:rPr>
          <w:b/>
        </w:rPr>
        <w:t>E. 5</w:t>
      </w:r>
    </w:p>
    <w:p>
      <w:r>
        <w:t>Le recourant demande la nomination d'un défenseur d'office pour la procédure de recours.</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(G. PALUMBO, L’avocat dans l’exécution des peines privatives de liberté: le cas particulier de la procédure disciplinaire, in RPS 132/2014 p. 92ss, pp. 94-95). Dans un arrêt ancien (ATF 117 Ia 277 consid. 5 p. 281), le Tribunal fédéral a reconnu que, dans l’exécution des peines, il était envisageable que le détenu soit confronté à des situations juridiques ou factuelles épineuses, ou à des questions procédurales compliquées. Il a ainsi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p. 96; ACPR/616/2015 du 16 novembre 2015).</w:t>
      </w:r>
    </w:p>
    <w:p>
      <w:r>
        <w:t>- 9/11 - PM/310/2024</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5.3</w:t>
      </w:r>
    </w:p>
    <w:p>
      <w:r>
        <w:t>En l'espèce, eu égard aux développements qui précèdent, le recours était voué à l'échec. En outre, dans la mesure où le recourant n'a eu qu'à s'exprimer sur sa situation personnelle et sur ses projets, la cause ne présentait pas de difficulté particulière. Il en résulte que la demande de nomination d'un défenseur d'office doit être refusée. * * * * *</w:t>
      </w:r>
    </w:p>
    <w:p>
      <w:r>
        <w:t>- 10/11 - PM/310/2024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