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ACPR/323/2021 vom 17. Februar 2021</w:t>
      </w:r>
    </w:p>
    <w:p>
      <w:r>
        <w:t>GE Cour de justice, 2021-02-17, FR</w:t>
      </w:r>
    </w:p>
    <w:p>
      <w:r>
        <w:rPr>
          <w:b/>
        </w:rPr>
        <w:t xml:space="preserve">Quelle: </w:t>
      </w:r>
      <w:r>
        <w:t>https://mcp.opencaselaw.ch/entscheid/ge_gerichte_ACPR_323_2021</w:t>
      </w:r>
    </w:p>
    <w:p>
      <w:r>
        <w:t>FR: GE_GERICHTE ACPR/323/2021 du 17 février 2021</w:t>
      </w:r>
    </w:p>
    <w:p>
      <w:r>
        <w:t>IT: GE_GERICHTE ACPR/323/2021 del 17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question de savoir si le recours, au sens de l’art. 393 al. 1 let. b CPP, est ouvert contre une décision prise par le tribunal de première instance postérieurement à son jugement n’a pas à être résolue. En effet, si la réception de l'acte d'accusation – ici, de l'ordonnance pénale (art. 356 al. 1 CPP) – par le tribunal de première instance crée la litispendance (art. 328 al. 1 CPP) et fait passer la direction de la procédure au tribunal (art. 61 let. d CPP) – ici, le Tribunal de police –, qui la conserve jusqu'à ce que le jugement motivé soit rédigé et que l’annonce d’appel et le dossier soient transmis à la juridiction d'appel</w:t>
      </w:r>
    </w:p>
    <w:p>
      <w:r>
        <w:t>- 4/5 - P/20236/2019 (art. 399 al. 2 CPP), il est de fait, en l’espèce, que la CPAR, juridiction d’appel, est désormais saisie de la cause. Or, la Direction de la procédure a statué sur la demande présentée par le recourant. En d’autres termes, celui-ci – qui demandait une défense d’office précisément dans l’optique de l’appel qu’il annonçait – a reçu une réponse de l’autorité devenue compétente pour en connaître (cf. art. 133 al. 1 CPP). C’est d’ailleurs à juste titre qu’il ne prétendait pas à la désignation d’un avocat pour la phase qui suivit les débats de première instance et qui se termina par la notification écrite du jugement (ACPR/98/2018 du 21 février 2018 consid. 3.3.). Aussi, le recours, fût-il recevable, a perdu son objet.</w:t>
      </w:r>
    </w:p>
    <w:p>
      <w:r>
        <w:rPr>
          <w:b/>
        </w:rPr>
        <w:t>E. 2</w:t>
      </w:r>
    </w:p>
    <w:p>
      <w:r>
        <w:t>Il convient par conséquent d’en prendre acte, sans frais (art. 20 al. 1 RAJ).</w:t>
      </w:r>
    </w:p>
    <w:p>
      <w:r>
        <w:rPr>
          <w:b/>
        </w:rPr>
        <w:t>E. 3</w:t>
      </w:r>
    </w:p>
    <w:p>
      <w:r>
        <w:t>La présente décision sera notifiée au défenseur que le recourant s’est constitué dans l’intervalle. * * * * *</w:t>
      </w:r>
    </w:p>
    <w:p>
      <w:r>
        <w:t>- 5/5 - P/20236/2019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