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ACPR/323/2019 vom 8. Mai 2019</w:t>
      </w:r>
    </w:p>
    <w:p>
      <w:r>
        <w:t>GE Cour de justice, 2019-05-08, FR</w:t>
      </w:r>
    </w:p>
    <w:p>
      <w:r>
        <w:rPr>
          <w:b/>
        </w:rPr>
        <w:t xml:space="preserve">Quelle: </w:t>
      </w:r>
      <w:r>
        <w:t>https://mcp.opencaselaw.ch/entscheid/ge_gerichte_ACPR_323_2019</w:t>
      </w:r>
    </w:p>
    <w:p>
      <w:r>
        <w:t>FR: GE_GERICHTE ACPR/323/2019 du 8 mai 2019</w:t>
      </w:r>
    </w:p>
    <w:p>
      <w:r>
        <w:t>IT: GE_GERICHTE ACPR/323/2019 del 8 maggio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 n'ayant pas été observées –, concerner une décision sujette à recours auprès de la Chambre de céans (art. 20 al. 1 let. b, 135 al. 3 let. a et 393 al. 1 let. a CPP, 128 al. 1 let. a et al. 2 let. a LOJ) et émaner du défenseur d'office, qui a qualité pour recourir (art. 135 al. 3 let. a CPP); - à teneur de l'art. 135 al. 1 CPP, le défenseur d'office est indemnisé conformément au tarif des avocats de la Confédération ou du canton du for du procès. À Genève, le tarif des avocats est édicté à l'art. 16 RAJ; - la modification des tarifs horaire de CHF 110.- pour le stagiaire (let. a), en vigueur dès le 1er octobre 2018, s'applique à tous les états de frais dont la taxation n'est pas définitive lors de son entrée en vigueur (art. 23 RAJ); - dans la mesure où la recourante a adapté ses conclusions au tarif nouvellement en vigueur, il y a lieu de compléter l'indemnisation intervenue en première instance à l'aune de celui-ci; - la recourante ne contestant par ailleurs pas l'appréciation du Ministère public quant au temps d'activité nécessaire, le total dû est de CHF 1'153.45, correspondant à 2h15 d'activité au tarif horaire de CHF 200.- (CHF 450.-) et 4h d'activité au tarif horaire de CHF 110.- (CHF 440.-), au forfait courriers/téléphones de 20% (CHF 178.-) et à la TVA à 8% (CHF 85.45 arrondi); - l'indemnisation intervenue en première instance doit ainsi être complétée à hauteur de CHF 233.30; - enfin, dans son écriture du 11 février 2019, la recourante conclut, pour la première fois, à ce que l'indemnité allouée soit porteuse d'intérêts à 5% dès le 1er avril 2016, au motif qu'elle aurait dû être indemnisée "à tout le moins à ce tarif dès le moment de la taxation de son activité en première instance". À cet égard, indépendamment</w:t>
      </w:r>
    </w:p>
    <w:p>
      <w:r>
        <w:t>- 4/5 - P/24393/2015 du fait que, de jurisprudence constante, la motivation d'un recours doit être entièrement contenue dans l'acte de recours lui-même et ne saurait dès lors être complétée ou corrigée ultérieurement (arrêt du Tribunal fédéral 1B_183/2012 du 20 novembre 2012 consid. 2), cette conclusion doit de toute manière être rejetée. En effet, dans la mesure où l'indemnisation du défenseur d'office ne vise pas à réparer un dommage subi, l'on ne saurait considérer une telle indemnité comme porteuse d'intérêts compensatoires (ATF 143 IV 495 consid. 2.2.4 et arrêt du Tribunal fédéral 6B_1008/2017 du 5 avril 2018 consid. 2.3; cf. aussi AARP/388/2018 du 5 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de la recourante, de lui allouer, à titre de juste indemnité, un montant de CHF 300.- TTC, pour son recours. * * * * *</w:t>
      </w:r>
    </w:p>
    <w:p>
      <w:r>
        <w:t>- 5/5 - P/24393/2015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