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ACPR/323/2017 vom 22. Dezember 2016</w:t>
      </w:r>
    </w:p>
    <w:p>
      <w:r>
        <w:t>GE Cour de justice, 2016-12-22, FR</w:t>
      </w:r>
    </w:p>
    <w:p>
      <w:r>
        <w:rPr>
          <w:b/>
        </w:rPr>
        <w:t xml:space="preserve">Quelle: </w:t>
      </w:r>
      <w:r>
        <w:t>https://mcp.opencaselaw.ch/entscheid/ge_gerichte_ACPR_323_2017</w:t>
      </w:r>
    </w:p>
    <w:p>
      <w:r>
        <w:t>FR: GE_GERICHTE ACPR/323/2017 du 22 décembre 2016</w:t>
      </w:r>
    </w:p>
    <w:p>
      <w:r>
        <w:t>IT: GE_GERICHTE ACPR/323/2017 del 22 dicembre 2016</w:t>
      </w:r>
    </w:p>
    <w:p>
      <w:pPr>
        <w:pStyle w:val="Heading2"/>
      </w:pPr>
      <w:r>
        <w:t>Erwägungen</w:t>
      </w:r>
    </w:p>
    <w:p>
      <w:r>
        <w:rPr>
          <w:b/>
        </w:rPr>
        <w:t>E. 1.1</w:t>
      </w:r>
    </w:p>
    <w:p>
      <w:r>
        <w:t>Le recours a été déposé dans le délai prescrit (art. 396 al. 1 CPP), concerne une ordonnance sujette à recours auprès de la Chambre de céans (art. 393 al. 1 let. a CPP)</w:t>
      </w:r>
    </w:p>
    <w:p>
      <w:r>
        <w:t>- 7/12 - P/10479/2016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L'art. 385 al. 1 CPP précise que le mémoire de recours doit indiquer précisément les points de la décision attaquée (let. a), les motifs qui commandent une autre décision (let. b) ainsi que les moyens de preuves invoqués (let. c). In casu, l'écriture du recourant du 22 décembre 2016 ne respecte pas formellement ces exigences. L'intéressé a cependant explicitement exprimé son désaccord avec la décision entreprise et a, partant, requis l'annulation de celle-ci. On peut ainsi admettre que ladite écriture se situe à la limite de ce qui peut être toléré en matière de motivation de justiciables agissant en personne, étant précisé à cet égard que le défaut de motivation d'un recours n'entraîne pas son irrecevabilité, puisque, à teneur de l'art. 385 al. 2 CPP, si le mémoire (de recours) ne satisfait pas aux réquisits prévus à l'al. 1 de cette disposition, l'autorité de recours renvoie ledit recours à son auteur pour qu'il le complète à bref délai et que ce n'est que si, après l'expiration du délai octroyé, cette écriture ne satisfait toujours pas à ces exigences que l'autorité de recours n'entre pas en matière. Il s'ensuit que le recours sera déclaré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considéré proportionné l'usage de la force par les agents municipaux.</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Bâle 2011, n. 8 ad art. 310).</w:t>
      </w:r>
    </w:p>
    <w:p>
      <w:r>
        <w:t>- 8/12 - P/10479/2016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R. PFISTER-LIECHTI (éd.), La procédure pénale fédérale, Fondation pour la formation continue des juges suisses, Berne 2010, p. 62; DCPR/85/2011 du 27 avril 2011).</w:t>
      </w:r>
    </w:p>
    <w:p>
      <w:r>
        <w:rPr>
          <w:b/>
        </w:rPr>
        <w:t>E. 3.2</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ATF 114 IV 41 consid. 2; ATF 113 IV 29 consid. 1). L'infraction peut aussi être réalisée lorsque l'auteur poursuit un but légitime, mais recourt, pour l'atteindre, à des moyens disproportionnés (ATF 113 IV 29 consid. 1; ATF 104 IV 22 consid. 2).</w:t>
      </w:r>
    </w:p>
    <w:p>
      <w:r>
        <w:rPr>
          <w:b/>
        </w:rPr>
        <w:t>E. 3.3</w:t>
      </w:r>
    </w:p>
    <w:p>
      <w:r>
        <w:t>L'art. 123 CP – qui peut s'appliquer concurremment à l'art. 312 CP (ATF 99 IV 13 consid. 3) –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ATF 135 IV 152 consid 2.1.1).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w:t>
      </w:r>
    </w:p>
    <w:p>
      <w:r>
        <w:t>- 9/12 - P/10479/2016 bien-être (ATF 134 IV 189 consid. 1.1.; ATF 107 IV 40 consid. 5c; ATF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3.4</w:t>
      </w:r>
    </w:p>
    <w:p>
      <w:r>
        <w:t>En l'espèce, la Chambre de céans retient que, le 6 mai 2016, le recourant fumait un joint qu'il a jeté lorsqu'il a vu les agents municipaux entrer dans le parc ______. Il a ensuite repris sa carte d'identité des mains d'un des deux fonctionnaires, qui procédait à sa mise à l'amende. L'agent a tenté de reprendre la carte et de retenir le recourant, par une clé d'épaule, ce dernier tentant vivement de se soustraire. Il avait fini à terre sous les yeux de ses camarades et s'était fortement débattu, avant de parvenir à se relever et à s'enfuir. Le recourant se plaint d'une lésion à son genou gauche ainsi que d'une douleur aux cervicales, que rien ne corrobore dans le dossier. En effet, s'agissant de la clé de cou, elle n'est confirmée par aucune des personnes entendues par la police, si ce n'est, timidement, par son camarade, lequel émet la possibilité d'une telle prise, par une déclaration confuse, inapte à l'établir. Les agents municipaux ont au contraire évoqué avoir eu l'opportunité de faire une clé de cou, mais jugé que celle-ci serait disproportionnée et inutile, étant déjà en possession de l'identité du recourant. La jeune fille entendue a, pour sa part, expliqué ne pas se souvenir de ce "détail". Quant à la déclaration du recourant, il apparaît que celui-ci a souvent nié des éléments de fait pourtant établis, ainsi qu'il l'a lui-même reconnu. Par conséquent sa déposition, qui plus est contrebalancée par les déclarations contradictoires de trois personnes qui n'ont pas corroboré l'hypothèse d'une clé de cou ou d'un étranglement, doit être nuancée. Elle est également inapte à établir une prévention pénale suffisante. En tout état de cause, aucun acte d'instruction complémentaire ne serait en mesure de renforcer les charges, aucun témoin ne pouvant en particulier apporter d'élément complémentaire sur le déroulement des faits. Il s'ensuit que la clé de cou alléguée – fût-elle disproportionnée, ce qu'il n'y a pas lieu de trancher au vu des circonstances – n'est pas établie à teneur des éléments du dossier. S'agissant des tentatives de clés de bras et de jambes, il sied d'analyser si ces prises ont été proportionnées, ainsi que le conteste le recourant. Quand bien même il était déjà en possession de l'identité du recourant, on ne saurait reprocher à C______ d'avoir fait usage de la contrainte face à un prévenu, pris en flagrant délit de consommation de stupéfiants (art. 19a de la loi fédérale sur les stupéfiants et les</w:t>
      </w:r>
    </w:p>
    <w:p>
      <w:r>
        <w:t>- 10/12 - P/10479/2016 substances psychotropes du 3 octobre 1951, LStup - RS 812.121), qui lui avait arraché ses documents des mains pour se soustraire au contrôle et à l'amende et prendre la fuite, d'autant plus que l'agent s'est limité à tenter de retenir le recourant, puis de le maîtriser à l'aide de tentatives de clés de bras et de jambe (art. 200 CPP). Il ne ressort pas de l'audition des deux témoins que l'intervention des agents leur eût paru disproportionnée, les témoins ayant au contraire souligné la vigueur employée par le recourant à se débattre. Quant aux séquelles alléguées par le recourant, elles ne sont corroborées par aucun élément au dossier. Le certificat médical ne mentionne aucune lésion ligamentaire, se limitant à faire état d'une légère boiterie. Cette claudication n'a en revanche pas été constatée par les personnes qui ont vu le recourant quelques jours après les faits, soit l'un des agents et F______. Si le premier a clairement réfuté une difficulté à marcher, dont le recourant ne lui avait au demeurant pas fait part, son ami a été incapable de se rappeler de sa démarche, trois jours après les faits. Dès lors, l'usage de la force par les agents municipaux apparaît, compte tenu du comportement du recourant, proportionné. Partant, l'ordonnance entreprise ne prête pas flanc à la critique.</w:t>
      </w:r>
    </w:p>
    <w:p>
      <w:r>
        <w:rPr>
          <w:b/>
        </w:rPr>
        <w:t>E. 4</w:t>
      </w:r>
    </w:p>
    <w:p>
      <w:r>
        <w:t>Justifiée, l'ordonnance querellée sera donc confirmée.</w:t>
      </w:r>
    </w:p>
    <w:p>
      <w:r>
        <w:rPr>
          <w:b/>
        </w:rPr>
        <w:t>E. 5</w:t>
      </w:r>
    </w:p>
    <w:p>
      <w:r>
        <w:t>Le recourant, qui succombe, supportera les frais envers l'État, qui comprendront un émolument de CHF 800.- (art. 428 al. 1 CPP et 13 al. 1 du Règlement fixant le tarif des frais en matière pénale, RTFMP ; E 4 10.03). * * * * *</w:t>
      </w:r>
    </w:p>
    <w:p>
      <w:r>
        <w:t>- 11/12 - P/10479/2016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