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ACPR/31/2021 vom 5. November 2020</w:t>
      </w:r>
    </w:p>
    <w:p>
      <w:r>
        <w:t>GE Cour de justice, 2020-11-05, FR</w:t>
      </w:r>
    </w:p>
    <w:p>
      <w:r>
        <w:rPr>
          <w:b/>
        </w:rPr>
        <w:t xml:space="preserve">Quelle: </w:t>
      </w:r>
      <w:r>
        <w:t>https://mcp.opencaselaw.ch/entscheid/ge_gerichte_ACPR_31_2021</w:t>
      </w:r>
    </w:p>
    <w:p>
      <w:r>
        <w:t>FR: GE_GERICHTE ACPR/31/2021 du 5 novembre 2020</w:t>
      </w:r>
    </w:p>
    <w:p>
      <w:r>
        <w:t>IT: GE_GERICHTE ACPR/31/2021 del 5 novembre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Chambre pénale de recours peut décider d'emblée de traiter sans échange d'écritures ni débats les recours manifestement mal fondés (art. 390 al. 2 et 5 a contrario CPP). Tel est le cas en l'occurrence, au vu des considérations qui suivent.</w:t>
      </w:r>
    </w:p>
    <w:p>
      <w:r>
        <w:rPr>
          <w:b/>
        </w:rPr>
        <w:t>E. 2.1</w:t>
      </w:r>
    </w:p>
    <w:p>
      <w:r>
        <w:t>Le recours a été déposé dans le délai prescrit (art. 396 al. 1 CPP) – les formalités de notification (art. 85 al. 2 CPP) n'ayant pas été observées –, concerne une ordonnance sujette à recours auprès de la Chambre de céans (art. 393 al. 1 let. a CPP) et émane du prévenu, partie à la procédure (art. 104 al. 1 let. a CPP), qui a un intérêt juridiquement protégé à la modification de l'ordonnance querellée (art. 382 al. 1 CPP).</w:t>
      </w:r>
    </w:p>
    <w:p>
      <w:r>
        <w:rPr>
          <w:b/>
        </w:rPr>
        <w:t>E. 2.2</w:t>
      </w:r>
    </w:p>
    <w:p>
      <w:r>
        <w:t>La question de savoir si le recours, non motivé – le recourant se bornant à faire « opposition » à l’ordonnance litigieuse, sans autre explication –, remplit les conditions de forme de l’art. 385 al. 1 CPP se pose. Néanmoins, elle peut rester ouverte au vu des considérants qui suivent.</w:t>
      </w:r>
    </w:p>
    <w:p>
      <w:r>
        <w:rPr>
          <w:b/>
        </w:rPr>
        <w:t>E. 3</w:t>
      </w:r>
    </w:p>
    <w:p>
      <w:r>
        <w:t>Le recourant conteste le bien-fondé de la jonction litigieuse.</w:t>
      </w:r>
    </w:p>
    <w:p>
      <w:r>
        <w:rPr>
          <w:b/>
        </w:rPr>
        <w:t>E. 3.1</w:t>
      </w:r>
    </w:p>
    <w:p>
      <w:r>
        <w:t>L’art. 29 al. 1 let. a CPP consacre le principe de l’unité de la procédure pénale, à savoir qu’il y a lieu de poursuivre et juger, en une seule et même procédure, l’ensemble des infractions reprochées à un même prévenu. En vertu de ce principe, les infractions commises en concours doivent – y compris lorsqu’elles sont de nature différente (ATF 138 IV 214 consid. 3.6 et 3.7 où il était question de violences domestiques et d’escroquerie) – être réprimées dans un même jugement, un seul magistrat devant statuer sur l’ensemble des faits imputés à un délinquant. Cette solution permet, en sus d’éviter tant la multitude de décisions rendues à l’encontre</w:t>
      </w:r>
    </w:p>
    <w:p>
      <w:r>
        <w:t>- 4/6 - P/15586/2020 d’une même personne que les frais liés à toute nouvelle procédure (ATF 138 IV 29 consid. 3.2 et arrêt du Tribunal fédéral 1B_428/2018 du 7 novembre 2018 consid. 3.2), de prononcer une peine complémentaire ou d’ensemble. En ce sens les intérêts de l’auteur sont préservés (art. 49 CP; L. MOREILLON / A. PAREIN- REYMOND, Petit commentaire CPP, Bâle 2016, n. 3 ad art. 29). Selon l’art. 30 CPP, la disjonction peut être ordonnée si des raisons objectivent le justifient. Elle doit rester l’exception. Elle sert, avant tout, à garantir la rapidité de la procédure et à éviter un retard inutile. Des causes pourront être disjointes, par exemple, lorsque plusieurs faits sont reprochés à un auteur et que seule une partie de ceux-ci sont en état d’être jugés, la prescription s’approchant ; elles pourront également l’être en cas d’arrestation d’un coauteur lorsque les autres participants sont en voie d’être jugés, en présence de difficultés liées à un grand nombre de coauteurs dont certains seraient introuvables, ou encore lorsqu’une longue procédure d’extradition est mise en œuvre (ATF 138 IV 214 consid. 3.2 et arrêt du Tribunal fédéral 1B_428/2018 précité). Une violation du principe de célérité – garanti par les art. 6 CEDH, 29 al. 1 Cst féd. et 5 CPP – constitue également un motif objectif de disjonction (arrêt du Tribunal fédéral 1B_684/2011 du 21 décembre 2011 consid. 3.2 in fine).</w:t>
      </w:r>
    </w:p>
    <w:p>
      <w:r>
        <w:rPr>
          <w:b/>
        </w:rPr>
        <w:t>E. 3.2</w:t>
      </w:r>
    </w:p>
    <w:p>
      <w:r>
        <w:t>En l’espèce, le recourant est prévenu dans deux procédures pour des faits similaires. Conformément au principe de l’unité de la procédure, ces faits – et les infractions qui y sont associées – doivent être poursuivis conjointement. Par ailleurs, l’ensemble des faits des deux procédures sont en état d’être jugés. D’ailleurs, à la suite de l’ordonnance entreprise, le Ministère public a rendu, à l’encontre du recourant, une ordonnance pénale pour l’ensemble des faits des procédures jointes et prononcé une peine d’ensemble (art. 49 al. 1 CP). Ainsi, la décision querellée ne prête pas le flanc à la critique.</w:t>
      </w:r>
    </w:p>
    <w:p>
      <w:r>
        <w:rPr>
          <w:b/>
        </w:rPr>
        <w:t>E. 4</w:t>
      </w:r>
    </w:p>
    <w:p>
      <w:r>
        <w:t>Le recours sera, partant, rejeté.</w:t>
      </w:r>
    </w:p>
    <w:p>
      <w:r>
        <w:rPr>
          <w:b/>
        </w:rPr>
        <w:t>E. 5</w:t>
      </w:r>
    </w:p>
    <w:p>
      <w:r>
        <w:t>Le recourant, qui succombe, supportera les frais envers l'État, fixés en totalité à CHF 500.-, compte tenu de sa situation personnelle (art. 428 al. 1 CPP et 13 al. 1 du Règlement fixant le tarif des frais en matière pénale, RTFMP ; E 4 10.03). * * * * *</w:t>
      </w:r>
    </w:p>
    <w:p>
      <w:r>
        <w:t>- 5/6 - P/15586/2020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