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ACPR/31/2020 vom 18. September 2019</w:t>
      </w:r>
    </w:p>
    <w:p>
      <w:r>
        <w:t>GE Cour de justice, 2019-09-18, FR</w:t>
      </w:r>
    </w:p>
    <w:p>
      <w:r>
        <w:rPr>
          <w:b/>
        </w:rPr>
        <w:t xml:space="preserve">Quelle: </w:t>
      </w:r>
      <w:r>
        <w:t>https://mcp.opencaselaw.ch/entscheid/ge_gerichte_ACPR_31_2020</w:t>
      </w:r>
    </w:p>
    <w:p>
      <w:r>
        <w:t>FR: GE_GERICHTE ACPR/31/2020 du 18 septembre 2019</w:t>
      </w:r>
    </w:p>
    <w:p>
      <w:r>
        <w:t>IT: GE_GERICHTE ACPR/31/2020 del 18 settembre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et concerner une ordonnance sujette à recours auprès de la Chambre de céans (art. 393 al. 1 let. a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382 al. 1 CPP, toute partie qui a un intérêt juridiquement protégé à l'annulation ou à la modification d'une décision a qualité pour recourir contre celle- ci. L'art. 104 al. 1 let. b CPP précise que la qualité de partie est reconnue à la partie plaignante. 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Pour être directement touché, l'intéressé doit subir une atteinte en rapport de causalité directe avec l'infraction poursuivie, ce qui exclut les personnes subissant un préjudice indirect ou par ricochet (arrêts du Tribunal fédéral 6B_671/2014 du 22 décembre 2017 consid. 1.2 et les références ; 1B_9/2015 du 23 juin 2015 consid. 2.3.1 et les références). En règle générale, seul peut se prévaloir d'une atteinte directe le titulaire du bien juridique protégé par la disposition pénale qui a été enfreinte (ATF 141 IV 1</w:t>
      </w:r>
    </w:p>
    <w:p>
      <w:r>
        <w:t>- 5/9 - P/5261/2019 consid. 3.1).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w:t>
      </w:r>
    </w:p>
    <w:p>
      <w:r>
        <w:rPr>
          <w:b/>
        </w:rPr>
        <w:t>E. 3.2</w:t>
      </w:r>
    </w:p>
    <w:p>
      <w:r>
        <w:t>S'agissant des infractions contre l'honneur, celui-ci n'étant pas un concept se rattachant exclusivement à la personne humaine, les personnes morales de droit privé sont aussi titulaires de ce droit (corporations et établissements, fondations: ATF 96 IV 148, JdT 1971 IV 110). L'attaque doit se faire à l'encontre de l'activité sociale de la société et non pas uniquement des individus qui agissent pour celle-ci (M. DUPUIS / L. MOREILLON / C. PIGUET / S. BERGER / M. MAZOU / V. RODIGARI (éds), Code pénal - Petit commentaire, Bâle 2017, n. 111 ad art. remarques préliminaires aux art. 173 à 178 et les références citées).</w:t>
      </w:r>
    </w:p>
    <w:p>
      <w:r>
        <w:rPr>
          <w:b/>
        </w:rPr>
        <w:t>E. 3.3</w:t>
      </w:r>
    </w:p>
    <w:p>
      <w:r>
        <w:t>En l'occurrence, si aucun doute n'apparaît sur la qualité de partie plaignante et la qualité pour recourir de A______ concernant l'éventuelle atteinte à son propre honneur et celle de B______ — pour en être le secrétaire, avec signature individuelle au moment du dépôt du recours —, tel n'est toutefois pas le cas de son épouse. En effet, d'une part, une éventuelle atteinte à l'honneur de celle-ci ne fait pas l'objet de la décision entreprise et, d'autre part, A______ ne peut se prévaloir que d'un préjudice indirect en ce qui la concerne. En conséquence, le recours est recevable en tant qu'il concerne A______ et la B______ uniquement.</w:t>
      </w:r>
    </w:p>
    <w:p>
      <w:r>
        <w:rPr>
          <w:b/>
        </w:rPr>
        <w:t>E. 4.1</w:t>
      </w:r>
    </w:p>
    <w:p>
      <w:r>
        <w:t>Selon l'art. 310 al. 1 let. b CPP, le ministère public rend immédiatement une ordonnance de non-entrée en matière s'il ressort de la dénonciation qu'il existe un empêchement de procéder. L'incompétence à raison du lieu est constitutive d'un empêchement définitif de procéder (L. MOREILLON / A. PAREIN-REYMOND (éds), Code de procédure pénale- Petit commentaire, Bâle 2016, n. 13 ad art. 310).</w:t>
      </w:r>
    </w:p>
    <w:p>
      <w:r>
        <w:rPr>
          <w:b/>
        </w:rPr>
        <w:t>E. 4.2</w:t>
      </w:r>
    </w:p>
    <w:p>
      <w:r>
        <w:t>À teneur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4.3</w:t>
      </w:r>
    </w:p>
    <w:p>
      <w:r>
        <w:t>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w:t>
      </w:r>
    </w:p>
    <w:p>
      <w:r>
        <w:t>- 6/9 - P/5261/2019 S. BERGER / M. MAZOU / V. RODIGARI (éds), op.cit., n. 17 ad art. 8 et les références citées).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le cas (P. GILLIERON, La diffusion de propos attentatoires à l'honneur sur internet, in SJ 2001 II p. 181ss, 182-183; cf. aussi ATF 125 IV 177 consid. 2 et ACAS/66/04 précité consid. 3.7 et 3.8). Est ainsi seule déterminante la question de savoir si l'auteur a rédigé son texte en sachant qu'il serait lu par le public suisse. Le domicile en Suisse de la personne visée par les propos litigieux (laquelle ne saurait être assimilée au tiers visé par les art. 173 et 174 CP) ne saurait ainsi fonder à lui seul la compétence des autorités suisses (ACAS/66/04 précité ; ACPR/470/2017 du 11 juillet 2017 consid. 5.1). Ce n'est qu'une fois la compétence des tribunaux suisses acquise, que se posera la question de l'éventuelle application de l'art. 28 CP.</w:t>
      </w:r>
    </w:p>
    <w:p>
      <w:r>
        <w:rPr>
          <w:b/>
        </w:rPr>
        <w:t>E. 4.4</w:t>
      </w:r>
    </w:p>
    <w:p>
      <w:r>
        <w:t>En l'espèce, les propos litigieux ont été diffusés au travers d'articles publiés, en [langue C______] et en anglais, sur des sites internet destinés [à la région C______ et alentours] et plus particulièrement aux peuples C______, P______ et T______. Il</w:t>
      </w:r>
    </w:p>
    <w:p>
      <w:r>
        <w:t>- 7/9 - P/5261/2019 en va de même des vidéos diffusées par les chaînes de télévision R______ et S______, accessibles également sur internet. En outre, on ne peut considérer que les articles et vidéos querellés concernant la situation en C______, et propagés par des canaux de diffusion étrangers soient destinés au public suisse, ce qui n'est au demeurant pas allégué par le recourant. Dès lors, il n'est pas possible de conclure sans autre élément que le public-cible soit suisse. Le fait que le recourant soit domicilié en Suisse n'y change rien. Les autorités judiciaires pénales suisses ne sont donc pas compétentes pour poursuivre, le cas échéant, les infractions dénoncées. Il en résulte ainsi un empêchement de procéder, au sens de l'art. 310 al. 1 let. b CPP.</w:t>
      </w:r>
    </w:p>
    <w:p>
      <w:r>
        <w:rPr>
          <w:b/>
        </w:rPr>
        <w:t>E. 5</w:t>
      </w:r>
    </w:p>
    <w:p>
      <w:r>
        <w:t>Le document transmis par le recourant le 10 décembre 2019 à la Chambre de céans ne modifie en rien ce qui précède de sorte qu'il n'est pas nécessaire d'examiner sa recevabilité.</w:t>
      </w:r>
    </w:p>
    <w:p>
      <w:r>
        <w:rPr>
          <w:b/>
        </w:rPr>
        <w:t>E. 6</w:t>
      </w:r>
    </w:p>
    <w:p>
      <w:r>
        <w:t>Justifiée, l'ordonnance querellée sera donc confirmée, par substitution de motifs.</w:t>
      </w:r>
    </w:p>
    <w:p>
      <w:r>
        <w:rPr>
          <w:b/>
        </w:rPr>
        <w:t>E. 7</w:t>
      </w:r>
    </w:p>
    <w:p>
      <w:r>
        <w:t>Le recourant, qui succombe, supportera les frais envers l'État, qui seront fixés en totalité à CHF 1'000.- (art. 428 al. 1 CPP et 13 al. 1 du Règlement fixant le tarif des frais en matière pénale, RTFMP ; E 4 10.03). * * * * *</w:t>
      </w:r>
    </w:p>
    <w:p>
      <w:r>
        <w:t>- 8/9 - P/5261/2019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