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ACPR/318/2026 vom 26. März 2026</w:t>
      </w:r>
    </w:p>
    <w:p>
      <w:r>
        <w:t>GE Cour de justice, 2026-03-26, FR</w:t>
      </w:r>
    </w:p>
    <w:p>
      <w:r>
        <w:rPr>
          <w:b/>
        </w:rPr>
        <w:t xml:space="preserve">Quelle: </w:t>
      </w:r>
      <w:r>
        <w:t>https://mcp.opencaselaw.ch/entscheid/ge_gerichte_ACPR_318_2026</w:t>
      </w:r>
    </w:p>
    <w:p>
      <w:r>
        <w:t>FR: GE_GERICHTE ACPR/318/2026 du 26 mars 2026</w:t>
      </w:r>
    </w:p>
    <w:p>
      <w:r>
        <w:t>IT: GE_GERICHTE ACPR/318/2026 del 26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considère que les conditions pour le prononcé d'une non-entrée en matière ne sont pas réunies.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La non-entrée en matière peut également résulter de motifs juridiques. La question de savoir si les faits qui sont portés à sa connaissance constituent une infraction à la loi</w:t>
      </w:r>
    </w:p>
    <w:p>
      <w:r>
        <w:t>- 7/12 - P/2530/2026 pénale doit être examinée d'office par le ministère public. Des motifs juridiques de non-entrée en matière existent lorsqu'il apparaît d'emblée que le comportement dénoncé n'est pas punissable (Y. JEANNERET / A. KUHN / C. PERRIER DEPEURSINGE (éds), op. cit., n. 10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w:t>
      </w:r>
    </w:p>
    <w:p>
      <w:r>
        <w:rPr>
          <w:b/>
        </w:rPr>
        <w:t>E. 3.2</w:t>
      </w:r>
    </w:p>
    <w:p>
      <w:r>
        <w:t>L'art. 125 CP réprime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 (arrêt du Tribunal fédéral 6B_976/2023 du 29 novembre 2023 consid. 1.2). La négligence est l'imprévoyance coupable commise par quiconque, ne se rendant pas compte des conséquences de son acte, agit sans user des précautions commandées par les circonstances et sa situation personnelle (art. 12 al. 3 CP). Deux conditions doivent être remplies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w:t>
      </w:r>
    </w:p>
    <w:p>
      <w:r>
        <w:rPr>
          <w:b/>
        </w:rPr>
        <w:t>E. 3.3</w:t>
      </w:r>
    </w:p>
    <w:p>
      <w:r>
        <w:t>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 Un comportement est la cause naturelle d'un résultat s'il en constitue l'une des conditions sine qua non, c'est-à-dire si, sans lui, le résultat ne se serait pas produit (ATF 133 IV 158 consid. 6.1).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w:t>
      </w:r>
    </w:p>
    <w:p>
      <w:r>
        <w:t>- 8/12 - P/2530/2026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w:t>
      </w:r>
    </w:p>
    <w:p>
      <w:r>
        <w:rPr>
          <w:b/>
        </w:rPr>
        <w:t>E. 3.4</w:t>
      </w:r>
    </w:p>
    <w:p>
      <w:r>
        <w:t>Selon l'art. 26 al. 1 LCR,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143 IV 500 consid. 1.2.4; 143 IV 138 consid. 2.1). Seul celui qui s'est comporté réglementairement peut invoquer le principe de la confiance. Celui qui viole des règles de la circulation et crée ainsi une situation confuse ou dangereuse ne peut pas attendre des autres qu'ils parent à ce danger par une attention accrue (ATF 143 IV 500 consid. 1.2.4).</w:t>
      </w:r>
    </w:p>
    <w:p>
      <w:r>
        <w:rPr>
          <w:b/>
        </w:rPr>
        <w:t>E. 3.5</w:t>
      </w:r>
    </w:p>
    <w:p>
      <w:r>
        <w:t>Au sens de l'art. 27 al. 1 LCR, chacun se conformera aux signaux. L'art. 68 al. 2 de l'ordonnance sur la signalisation routière (OSR – RS 741.21) indique que le feu vert signifie route libre. Si les feux lumineux ne déchargent pas l'usager de toute obligation de prudence, celui-ci peut néanmoins accorder une confiance accrue à cet indicateur et, si le feu est vert, il ne doit en principe pas encore vérifier que la voie est effectivement libre (arrêt du Tribunal fédéral 6P.148/2006 du 24 novembre 2006 consid. 7.2.1). L'art. 68 al. 7 OSR prévoit que les piétons ne peuvent emprunter la chaussée que si le feu qui leur est réservé est vert. Si le feu rouge s'allume sans transition, les piétons se trouvant déjà sur la chaussée doivent la quitter sans délai.</w:t>
      </w:r>
    </w:p>
    <w:p>
      <w:r>
        <w:rPr>
          <w:b/>
        </w:rPr>
        <w:t>E. 3.6</w:t>
      </w:r>
    </w:p>
    <w:p>
      <w:r>
        <w:t>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 du Tribunal fédéral 1C_179/2023 du 3 août 2023 consid. 3.1). Lorsqu'un conducteur doit prêter son attention visuelle principalement dans une direction déterminée, on peut admettre que son attention soit moindre dans les autres (ATF 122 IV 225 consid. 2b). Le conducteur doit avant tout porter son attention, outre sur sa propre voie de circulation, sur les dangers auxquels on doit s'attendre et peut ne prêter qu'une attention secondaire à d'éventuels comportements inhabituels ou aberrants (ATF 122 IV 225 consid. 2c; arrêt du Tribunal fédéral 6B_33/2021 du 12 juillet 2021 consid. 3.2.2).</w:t>
      </w:r>
    </w:p>
    <w:p>
      <w:r>
        <w:t>- 9/12 - P/2530/2026</w:t>
      </w:r>
    </w:p>
    <w:p>
      <w:r>
        <w:rPr>
          <w:b/>
        </w:rPr>
        <w:t>E. 3.7</w:t>
      </w:r>
    </w:p>
    <w:p>
      <w:r>
        <w:t>À teneur de l'art. 32 al. 1 LCR, la vitesse doit toujours être adaptée aux circonstances, notamment aux particularités du véhicule et du chargement, ainsi qu'aux conditions de la route, de la circulation et de la visibilité. Une vitesse n'est pas nécessairement inadaptée parce qu'il n'a pas été possible de s'arrêter avant un obstacle. Ce qui compte, c'est de savoir si le conducteur a réglé sa vitesse de façon à pouvoir s'arrêter sur l'espace qu'il a reconnu libre, c'est-à-dire sur l'espace où il ne voit aucun obstacle et où il ne doit pas s'attendre à en voir surgir un (ATF 103 IV 41 consid. 4).</w:t>
      </w:r>
    </w:p>
    <w:p>
      <w:r>
        <w:rPr>
          <w:b/>
        </w:rPr>
        <w:t>E. 3.8</w:t>
      </w:r>
    </w:p>
    <w:p>
      <w:r>
        <w:t>Aux termes de l'art. 33 al. 2 de la loi fédérale sur la circulation routière du 19 décembre 1958 (LCR ; RS 741.01), le conducteur d'un véhicule doit circuler avec une prudence particulière avant les passages pour piétons; au besoin, il doit s'arrêter pour laisser la priorité aux piétons qui se trouvent déjà sur le passage ou qui s'y engagent. L'inobservation de ces prescriptions est une violation des règles de la circulation, punissable selon l'art. 90 LCR. L'art. 33 LCR ne concerne pas les passages commandés par des signaux lumineux à feux changeants (art. 1 al. 9 et 6 al. 2 OCR; ATF 92 IV 210 consid. 2). Les signaux lumineux priment les règles générales de priorité, les signaux de priorité et les marques routières (art. 27 al. 1 LCR et 68 al. 1 OSR). Ainsi, le conducteur n'est pas tenu d'adopter une allure modérée compatible avec une priorité du piéton, tant que les feux sont verts pour le véhicule. Aussi longtemps que le feu demeure vert, il n'a pas à tenir compte des passages pour piétons – dont la sécurité est suffisamment garantie par les feux (ATF 92 IV 210 consid. 2). Si néanmoins le piéton entre dans le passage, tout ce que l'on peut demander au conducteur, c'est qu'il réagisse de façon adaptée aux circonstances pour chercher à éviter l'accident (ATF 95 II 184 consid. 4).</w:t>
      </w:r>
    </w:p>
    <w:p>
      <w:r>
        <w:rPr>
          <w:b/>
        </w:rPr>
        <w:t>E. 3.9</w:t>
      </w:r>
    </w:p>
    <w:p>
      <w:r>
        <w:t>Selon l'art. 34 LCR, les véhicules tiendront leur droite et circuleront, si la route est large, sur la moitié droite de celle-ci. Ils longeront le plus possible le bord droit de la chaussée, en particulier s’ils roulent lentement ou circulent sur un tronçon dépourvu de visibilité (al. 1). Le conducteur qui veut modifier sa direction de marche, par exemple pour obliquer, dépasser, se mettre en ordre de présélection ou passer d’une voie à l’autre, est tenu d’avoir égard aux usagers de la route qui viennent en sens inverse ainsi qu’aux véhicules qui le suivent (al. 3).</w:t>
      </w:r>
    </w:p>
    <w:p>
      <w:r>
        <w:rPr>
          <w:b/>
        </w:rPr>
        <w:t>E. 3.10</w:t>
      </w:r>
    </w:p>
    <w:p>
      <w:r>
        <w:t>En l'espèce, il est constant qu'une collision est intervenue entre les deux cyclomotoristes, consécutivement à laquelle ces derniers ont chuté et la recourante a subi diverses lésions attestées médicalement. Les déclarations des parties divergent toutefois quant aux circonstances dans lesquelles le choc a eu lieu. En effet, si la recourante affirme que le feu de signalisation pour les véhicules circulant sur la route de Frontenex se trouvait à la phase rouge et celui destiné au passage pour piétons qu'elle avait emprunté à la phase verte, le mis en cause soutient au contraire que le feu des piétons était au rouge, avec pour conséquence que celui destiné aux véhicules allant dans le même sens que lui devait être au vert.</w:t>
      </w:r>
    </w:p>
    <w:p>
      <w:r>
        <w:t>- 10/12 - P/2530/2026 Les investigations de la police n'ont pas permis de déterminer dans quelle phase se trouvait chacun des deux feux – et, partant, lequel des deux cyclomotoristes avait omis de se conformer à la signalisation lumineuse –, le rapport de phase synoptique des feux de signalisation n'ayant fourni aucune information utile à cet égard. Les recherches effectuées sur les caméras de vidéosurveillance n'ont quant à elles pas permis de retrouver des images de l'accident. Enfin, aucun témoin ne semble avoir assisté à l'accident, la recourante ne le prétendant au demeurant pas – ayant indiqué, lors de son audition par la police, que "personne ne s'était manifesté comme témoin" – et le rapport de la police ne faisant aucune mention d'autres personnes susceptibles d'avoir assisté au heurt. En particulier, le chauffeur du camion pouvant correspondre à celui mentionné par les parties a indiqué n'avoir pas assisté à l'accident. Quant aux personnes ayant contacté l'ambulance ou au secouriste ayant prodigué les premiers soins à la recourante – que cette dernière mentionne dans son acte –, rien n'indique qu'ils auraient assisté aux faits et seraient susceptibles de fournir des éclaircissements à cet égard. Il paraît à cet égard vain d'espérer que les policiers intervenus sur place puissent aujourd'hui – soit huit mois et demi après les faits – identifier des témoins qu'ils n'auraient pas été en mesure de trouver sur place le jour de l'accident, étant à cet égard relevé que si de tels témoins avaient existé, nul doute que les policiers en auraient fait mention dans leur rapport. Au vu de ces considérations, aucun nouvel acte d'enquête – en sus de ceux déjà effectués – n'est à même de renseigner sur la phase dans laquelle les deux feux de signalisation se trouvaient lors du heurt. On ne saurait par ailleurs inférer, comme le fait la recourante, que le feu du mis en cause aurait nécessairement été au rouge du seul fait que le camion mentionné par les parties se serait trouvé à l'arrêt devant le passage pour piétons où avait eu lieu le heurt. En effet, le fait que le camion se soit arrêté pour respecter un feu qui se serait précédemment trouvé au rouge ne permet pas d'exclure pour autant que celui-ci ait pu repasser en phase verte au moment où le recourant s'est engagé dans l'intersection, respectivement au moment où la recourante s'est avancée au guidon de son deux-roues sur le passage pour piétons. Le Ministère public était dès lors fondé à ne pas entrer en matière sur la plainte de la recourante.</w:t>
      </w:r>
    </w:p>
    <w:p>
      <w:r>
        <w:rPr>
          <w:b/>
        </w:rPr>
        <w:t>E. 4</w:t>
      </w:r>
    </w:p>
    <w:p>
      <w:r>
        <w:t>Justifiée, l'ordonnance querellée sera donc confirmée.</w:t>
      </w:r>
    </w:p>
    <w:p>
      <w:r>
        <w:rPr>
          <w:b/>
        </w:rPr>
        <w:t>E. 5</w:t>
      </w:r>
    </w:p>
    <w:p>
      <w:r>
        <w:t>La recourante, qui succombe, supportera les frais envers l'État, fixés en totalité à CHF 1'200.- (art. 428 al. 1 CPP et 13 al. 1 du Règlement fixant le tarif des frais en matière pénale, RTFMP; E 4 10.03), montant qui sera prélevé sur les sûretés versées.</w:t>
      </w:r>
    </w:p>
    <w:p>
      <w:r>
        <w:rPr>
          <w:b/>
        </w:rPr>
        <w:t>E. 6</w:t>
      </w:r>
    </w:p>
    <w:p>
      <w:r>
        <w:t>Corrélativement, aucun dépens ne lui sera alloué (ATF 144 IV 207, consid. 1.8.2). * * * * *</w:t>
      </w:r>
    </w:p>
    <w:p>
      <w:r>
        <w:t>- 11/12 - P/2530/2026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