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ACPR/318/2024 vom 8. April 2024</w:t>
      </w:r>
    </w:p>
    <w:p>
      <w:r>
        <w:t>GE Cour de justice, 2024-04-08, FR</w:t>
      </w:r>
    </w:p>
    <w:p>
      <w:r>
        <w:rPr>
          <w:b/>
        </w:rPr>
        <w:t xml:space="preserve">Quelle: </w:t>
      </w:r>
      <w:r>
        <w:t>https://mcp.opencaselaw.ch/entscheid/ge_gerichte_ACPR_318_2024</w:t>
      </w:r>
    </w:p>
    <w:p>
      <w:r>
        <w:t>FR: GE_GERICHTE ACPR/318/2024 du 8 avril 2024</w:t>
      </w:r>
    </w:p>
    <w:p>
      <w:r>
        <w:t>IT: GE_GERICHTE ACPR/318/2024 del 8 aprile 2024</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222 et 393 al. 1 let. c CPP) et émaner du prévenu qui, partie à la procédure (art. 104 al. 1 let. a CPP), a qualité pour agir, ayant un intérêt juridiquement protégé à la modification ou à l'annulation de la décision querellée (art. 382 al. 1 CPP).</w:t>
      </w:r>
    </w:p>
    <w:p>
      <w:r>
        <w:rPr>
          <w:b/>
        </w:rPr>
        <w:t>E. 2</w:t>
      </w:r>
    </w:p>
    <w:p>
      <w:r>
        <w:t>Le recourant ne soutient à juste titre pas qu'il n'existerait pas de charges suffisantes et graves. Il n'y a ainsi pas lieu de s'y attarder et il peut être renvoyé en tant que de</w:t>
      </w:r>
    </w:p>
    <w:p>
      <w:r>
        <w:t>- 6/10 - P/17806/2023 besoin à la motivation adoptée par le premier juge (art. 82 al. 4 CPP; ACPR/747/2020 du 22octobre 2020, consid. 2 et les références citées).</w:t>
      </w:r>
    </w:p>
    <w:p>
      <w:r>
        <w:rPr>
          <w:b/>
        </w:rPr>
        <w:t>E. 3</w:t>
      </w:r>
    </w:p>
    <w:p>
      <w:r>
        <w:t>Il conteste l'existence d'un risque de fuite.</w:t>
      </w:r>
    </w:p>
    <w:p>
      <w:r>
        <w:rPr>
          <w:b/>
        </w:rPr>
        <w:t>E. 3.1</w:t>
      </w:r>
    </w:p>
    <w:p>
      <w:r>
        <w:t>Conformément à l'art. 221 al. 1 let. a CPP, la détention provisoire peut être ordonnée s'il y a sérieusement lieu de craindre que le prévenu se soustraie à la procédure pénale ou à la sanction prévisible en prenant la fuite. Selon la jurisprudence, le risque de fuite doit s'analyser en fonction d'un ensemble de critères, tels que le caractère de l'intéressé, sa moralité, ses ressources, ses liens avec l'État qui le poursuit ainsi que ses contacts à l'étranger, qui font apparaître le risque de fuite non seulement possible, mais également probable. La gravité de l'infraction ne peut pas, à elle seule, justifier le placement ou le maintien en détention, même si elle permet souvent de présumer un danger de fuite en raison de l'importance de la peine dont le prévenu est menacé (ATF 145 IV 503 consid. 2.2; 143 IV 160 consid. 4.3).</w:t>
      </w:r>
    </w:p>
    <w:p>
      <w:r>
        <w:rPr>
          <w:b/>
        </w:rPr>
        <w:t>E. 3.2</w:t>
      </w:r>
    </w:p>
    <w:p>
      <w:r>
        <w:t>En l'espèce, le recourant est de nationalité polonaise. Au moment de l'accident, il logeait chez sa sœur depuis environ trois mois et avait deux "petits" emplois non déclarés. Par le passé, il est venu en Suisse comme saisonnier dans l'agriculture, à raison de neuf mois par année, retournant entre-temps en Pologne. Durant l'épidémie de Covid-19, il a passé selon ses dires deux ans en Pologne et y a travaillé en usine. Son père y vit encore. Sa sœur a indiqué que c'était leur père qui avait exigé que son frère revienne en Suisse pour trouver un emploi plus rémunérateur, ce qu'il a fait en se rendant dans le canton de Neuchâtel où il s'est occupé de chevaux et a obtenu un permis B en août 2022. Dans ces circonstances, quand bien même le recourant est titulaire d'un permis de séjour valable jusqu' au 9 août 2027, que sa sœur est disposée à l'héberger à nouveau à sa sortie de prison, et qu'il dit regretter les conséquences de son comportement, le risque de fuite est patent, considérant la peine et l'expulsion obligatoire (art. 66a CP) auxquelles il s'expose en cas de condamnation pour meurtre (art. 111 CP), ce qui ne saurait être exclu à ce stade de l'instruction. Le recourant ayant manifestement conservé de fortes attaches en Pologne, il y a lieu de craindre qu'il y retourne et ne se présente pas pour les futurs actes d'instruction, ainsi qu'à l'audience de jugement, ce d'autant que la Pologne n'extrade pas ses ressortissants. Dans ces conditions, peu importe que le recourant considère qu'il serait à son désavantage d'exécuter sa peine dans son pays d'origine plutôt qu'en Suisse. Aucune des mesures de substitution, au sens de l'art. 237 al. 1 CPP, n'est à même de pallier cet important risque de fuite, tels le dépôt des documents d'identité polonais du recourant, une interdiction de quitter la Suisse, une obligation de résidence chez sa sœur et une obligation de se présenter régulièrement à un poste de police, puisque</w:t>
      </w:r>
    </w:p>
    <w:p>
      <w:r>
        <w:t>- 7/10 - P/17806/2023 dites mesures ne seraient pas aptes à empêcher sa fuite par voie terrestre, mais permettraient seulement de la constater a posteriori.</w:t>
      </w:r>
    </w:p>
    <w:p>
      <w:r>
        <w:rPr>
          <w:b/>
        </w:rPr>
        <w:t>E. 4</w:t>
      </w:r>
    </w:p>
    <w:p>
      <w:r>
        <w:t>Le recourant conteste un risque de réitération.</w:t>
      </w:r>
    </w:p>
    <w:p>
      <w:r>
        <w:rPr>
          <w:b/>
        </w:rPr>
        <w:t>E. 4.1</w:t>
      </w:r>
    </w:p>
    <w:p>
      <w:r>
        <w:t>Le nouvel al. 1bis de l'art. 221 CPP – entré en vigueur le 1er janvier 2024 – prévoit le risque de récidive qualifié comme motif de mise en détention. Selon cette disposition, la détention provisoire peut exceptionnellement être ordonnée si le prévenu est fortement soupçonné d’avoir porté gravement atteinte à l’intégrité physique, psychique ou sexuelle d’autrui en commettant un crime ou un délit grave (let. a) et s'il y a un danger sérieux et imminent qu’il commette un crime grave du même genre (let. b). Comme il est renoncé à toute infraction préalable (le seul indice fiable permettant d’établir un pronostic légal), il semble justifié de restreindre les infractions soupçonnées aux crimes et délits graves contre des biens juridiques particulièrement importants (par ex., la vie, l’intégrité physique ou l’intégrité sexuelle). L’exigence supplémentaire de l’atteinte grave a pour objectif de garantir que lors de l’examen de la mise en détention, on prendra en considération non seulement les peines encourues, mais aussi les circonstances de chaque cas. Ces restrictions sont de plus requises en ce qui concerne le risque de crime grave du même genre. En effet, la détention préventive ne paraît justifiée que si le prévenu risque de mettre gravement en danger les biens juridiques des victimes potentielles (comme lorsque le motif de mise en détention est le passage à l’acte). Enfin, ces restrictions ont pour objectif d’exclure que ce motif de mise en détention soit avancé en cas de dommages purement matériels ou de comportements socialement nuisibles (Message du Conseil fédéral du 28 août 2019 [19.048] concernant la modification du code de procédure pénale (mise en œuvre de la motion 14.3383 de la Commission des affaires juridiques du Conseil des États « Adaptation du code de procédure pénale »), FF 2019 6351, p. 6395).</w:t>
      </w:r>
    </w:p>
    <w:p>
      <w:r>
        <w:rPr>
          <w:b/>
        </w:rPr>
        <w:t>E. 4.2</w:t>
      </w:r>
    </w:p>
    <w:p>
      <w:r>
        <w:t>En l'espèce, le recourant est prévenu notamment de meurtre pour les faits survenus le 14 août 2023, de sorte que la première condition est remplie. La seconde l'est également, car il résulte de la procédure que le recourant a bu massivement de l'alcool avant de prendre le volant dans la soirée en question et présentait au moment de son arrestation un taux d'alcool dans l'haleine de 1.18 mg/l. Il a également indiqué qu'il avait déjà conduit un véhicule après avoir bu de l'alcool et, lorsqu'il avait 24 ans, causé un accident avec dégâts matériels pour cette raison, ce qui lui a valu une condamnation et un retrait de permis de conduire pendant deux ans. S'il a dit ne plus consommer de vodka depuis 2022, car cela le rendait violent, il n'a manifestement pas cessé toute consommation excessive d'alcool, comme l'en atteste son état au moment de l'accident. Il présente ainsi un facteur de risque</w:t>
      </w:r>
    </w:p>
    <w:p>
      <w:r>
        <w:t>- 8/10 - P/17806/2023 important de récidive de conduite sous l'influence de l'alcool et, partant de commission d'infractions graves susceptibles de porter gravement atteinte à l'intégrité physique d'autrui, qu'aucune des mesures de substitution qu'il propose n'est à même de pallier. Le suivi psychologique commencé en détention et qu'il annonce vouloir poursuivre à sa sortie – sans au demeurant démontrer auprès de quel thérapeute – ne semble pas cibler sa problématique d'alcoolisme et n'est donc pas suffisant. Son engagement de s'abstenir dorénavant de toute consommation et de se soumettre aux contrôles utiles non plus.</w:t>
      </w:r>
    </w:p>
    <w:p>
      <w:r>
        <w:rPr>
          <w:b/>
        </w:rPr>
        <w:t>E. 5</w:t>
      </w:r>
    </w:p>
    <w:p>
      <w:r>
        <w:t>Le recours s'avère ainsi infondé et doit être rejeté.</w:t>
      </w:r>
    </w:p>
    <w:p>
      <w:r>
        <w:rPr>
          <w:b/>
        </w:rPr>
        <w:t>E. 6</w:t>
      </w:r>
    </w:p>
    <w:p>
      <w:r>
        <w:t>Le recourant, qui succombe, supportera les frais envers l'État, fixés en totalité à CHF 900.- (art. 428 al. 1 CPP et 13 al. 1 du Règlement fixant le tarif des frais en matière pénale, RTFMP ; E 4 10.03). En effet, l'autorité de recours est tenue de dresser un état de frais pour la procédure de deuxième instance, sans égard à l'obtention de l'assistance judiciaire (arrêts du Tribunal fédéral 1B_372/2014 du</w:t>
      </w:r>
    </w:p>
    <w:p>
      <w:r>
        <w:rPr>
          <w:b/>
        </w:rPr>
        <w:t>E. 8</w:t>
      </w:r>
    </w:p>
    <w:p>
      <w:r>
        <w:t>avril 2015 consid. 4.6 et 1B_203/2011 du 18 mai 2011 consid. 4). 7. Le recourant plaide au bénéfice d'une défense d'office. 7.1. Selon la jurisprudence, le mandat de défense d'office conféré à l'avocat du prévenu pour la procédure principale ne s'étend pas aux procédures de recours contre les décisions prises par la direction de la procédure en matière de détention avant jugement, dans la mesure où l'exigence des chances de succès de telles démarches peut être opposée au détenu dans ce cadre, même si cette question ne peut être examinée qu'avec une certaine retenue. La désignation d'un conseil d'office pour la procédure pénale principale n'est pas un blanc-seing pour introduire des recours aux frais de l'État, notamment contre des décisions de détention provisoire (arrêt du Tribunal fédéral 1B_516/2020 du 3 novembre 2020 consid. 5.1). 7.2. En l'occurrence, quand bien même le recourant succombe, on peut admettre que l'exercice du présent recours ne procède pas d'un abus. L'indemnité du défenseur d'office sera fixée à la fin de la procédure (art. 135 al. 2 CPP). * * * * *</w:t>
      </w:r>
    </w:p>
    <w:p>
      <w:r>
        <w:t>- 9/10 - P/17806/2023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