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ACPR/317/2021 vom 30. Dezember 2020</w:t>
      </w:r>
    </w:p>
    <w:p>
      <w:r>
        <w:t>GE Cour de justice, 2020-12-30, FR</w:t>
      </w:r>
    </w:p>
    <w:p>
      <w:r>
        <w:rPr>
          <w:b/>
        </w:rPr>
        <w:t xml:space="preserve">Quelle: </w:t>
      </w:r>
      <w:r>
        <w:t>https://mcp.opencaselaw.ch/entscheid/ge_gerichte_ACPR_317_2021</w:t>
      </w:r>
    </w:p>
    <w:p>
      <w:r>
        <w:t>FR: GE_GERICHTE ACPR/317/2021 du 30 décembre 2020</w:t>
      </w:r>
    </w:p>
    <w:p>
      <w:r>
        <w:t>IT: GE_GERICHTE ACPR/317/2021 del 30 dicembre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valeurs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(ATF 140 IV 133 consid. 4.2.1 p. 138 ; ATF 139 IV 250 consid. 2.1 p. 252 s.).</w:t>
      </w:r>
    </w:p>
    <w:p>
      <w:r>
        <w:rPr>
          <w:b/>
        </w:rPr>
        <w:t>E. 2.2</w:t>
      </w:r>
    </w:p>
    <w:p>
      <w:r>
        <w:t>En l'espèce, le Ministère public justifie l'augmentation de l'assiette du séquestre des avoirs de A______ auprès de B______ – de CHF 15'000'000.- – par une aggravation des charges.</w:t>
      </w:r>
    </w:p>
    <w:p>
      <w:r>
        <w:t>- 7/9 - P/7196/2017 A______ considère au contraire que l'arrêt du Tribunal fédéral du 1er décembre 2020 affaiblit les soupçons pesant à son encontre, ce que conteste le Ministère public. Cette question n'a pas à être résolue ici. L'enquête a certes permis de mettre en lumière l'intervention de tiers – identifiés ou non – à l'étranger, dont on ignore encore s'ils sont liés à A______, dans le processus d'acquisition de billets sur la plateforme internet de la société. Les CRI que le Ministère public envisage d'adresser dans différents pays auront précisément pour but d'éclaircir les circonstances dans lesquelles ces tiers entrent en scène et qui finance leur acquisition de billets. Les charges demeurent ainsi suffisantes à ce stade. Reste à savoir si elles nécessitaient de porter le séquestre de CHF 3'000'000.- à CHF 18'000'000.-. Il ne semble pas que le préjudice subi par les plaignants ait augmenté depuis le prononcé du précédent séquestre et le Ministère public, s'il prétend que des particuliers continuent à déposer des plaintes en Suisse et à l'étranger, ne documente pas celles-ci. S'il existe un grand nombre de plaignants, le montant de leur dommage ne peut se chiffrer globalement qu'en milliers de francs, correspondant aux achats de billets litigieux. Quant au préjudice subi par la C______ et l'D______, il consiste principalement en un dégât d'image. Faute d'une estimation du montant total du dommage – un calcul précis ne saurait bien évidemment être exigé à ce stade –, il n'est pas possible de retenir que la somme de CHF 15'000'000.- serait le produit d'infractions et, partant, sujette à confiscation. Le Ministère public ne démontre pas non plus que les sanctions pécuniaires qui pourraient être infligées à A______ en cas de condamnation s'élèveraient à plusieurs millions de francs suisses, étant relevé que le montant maximal de la peine pécuniaire est de CHF 1'080'000.- (art. 34 al. 1 et 2 CP). Quant aux frais de la procédure, ils ne sauraient atteindre de telles proportions non plus. Faute d'explication du Ministère public sur la manière dont il a chiffré le séquestre complémentaire de CHF 15'000'000.-, il n'est pas possible pour la Chambre de céans d'apprécier si ce montant est proportionné ou non. Sur ce point, le recours s'avère fondé. La décision attaquée sera annulée dans la mesure utile et la cause renvoyée au Ministère public pour nouvelle décision dans le sens de ce qui précède (art. 397 al. 2 CPP). Le séquestre du 30 décembre 2020 sera maintenu dans l'intervalle.</w:t>
      </w:r>
    </w:p>
    <w:p>
      <w:r>
        <w:t>- 8/9 - P/7196/2017</w:t>
      </w:r>
    </w:p>
    <w:p>
      <w:r>
        <w:rPr>
          <w:b/>
        </w:rPr>
        <w:t>E. 3</w:t>
      </w:r>
    </w:p>
    <w:p>
      <w:r>
        <w:t>Compte tenu de la nature procédurale du vice constaté, il n'était pas nécessaire d'inviter préalablement les parties plaignantes à se prononcer, la Chambre de céans n'ayant pas traité la cause sur le fond et ne préjugeant, ainsi, pas de l'issue de la cause (cf. ATF 133 IV 293 consid. 3.4.2; arrêt du Tribunal fédéral 6B_1212/2020 du 9 février 2021 consid. 2).</w:t>
      </w:r>
    </w:p>
    <w:p>
      <w:r>
        <w:rPr>
          <w:b/>
        </w:rPr>
        <w:t>E. 4</w:t>
      </w:r>
    </w:p>
    <w:p>
      <w:r>
        <w:t>La recourante, qui obtient partiellement gain de cause, ne supportera pas les frais envers l'État (art. 428 al. 4 CPP).</w:t>
      </w:r>
    </w:p>
    <w:p>
      <w:r>
        <w:rPr>
          <w:b/>
        </w:rPr>
        <w:t>E. 5</w:t>
      </w:r>
    </w:p>
    <w:p>
      <w:r>
        <w:t>La recourante a conclu à des dépens qu'elle n'a pas chiffrés.</w:t>
      </w:r>
    </w:p>
    <w:p>
      <w:r>
        <w:rPr>
          <w:b/>
        </w:rPr>
        <w:t>E. 5.1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w:t>
      </w:r>
    </w:p>
    <w:p>
      <w:r>
        <w:rPr>
          <w:b/>
        </w:rPr>
        <w:t>E. 5.2</w:t>
      </w:r>
    </w:p>
    <w:p>
      <w:r>
        <w:t>En l'espèce, eu égard au travail fourni, consistant en un recours de 10 pages (dont 2 pages de garde et conclusions et 3 pages de développements en droit) et une réplique de 3 pages, le faible gain effectivement obtenu – la recourante succombant sur sa conclusion principale en levée du séquestre –, et à l'absence de difficultés juridiques, il sera alloué à la recourante une indemnité ex aequo et bono de CHF 1'000.- TTC, laquelle apparaît suffisante. * * * * *</w:t>
      </w:r>
    </w:p>
    <w:p>
      <w:r>
        <w:t>- 9/9 - P/7196/2017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