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ACPR/316/2022 vom 7. Februar 2022</w:t>
      </w:r>
    </w:p>
    <w:p>
      <w:r>
        <w:t>GE Cour de justice, 2022-02-07, FR</w:t>
      </w:r>
    </w:p>
    <w:p>
      <w:r>
        <w:rPr>
          <w:b/>
        </w:rPr>
        <w:t xml:space="preserve">Quelle: </w:t>
      </w:r>
      <w:r>
        <w:t>https://mcp.opencaselaw.ch/entscheid/ge_gerichte_ACPR_316_2022</w:t>
      </w:r>
    </w:p>
    <w:p>
      <w:r>
        <w:t>FR: GE_GERICHTE ACPR/316/2022 du 7 février 2022</w:t>
      </w:r>
    </w:p>
    <w:p>
      <w:r>
        <w:t>IT: GE_GERICHTE ACPR/316/2022 del 7 febbraio 2022</w:t>
      </w:r>
    </w:p>
    <w:p>
      <w:pPr>
        <w:pStyle w:val="Heading2"/>
      </w:pPr>
      <w:r>
        <w:t>Erwägungen</w:t>
      </w:r>
    </w:p>
    <w:p>
      <w:r>
        <w:rPr>
          <w:b/>
        </w:rPr>
        <w:t>E. 1</w:t>
      </w:r>
    </w:p>
    <w:p>
      <w:r>
        <w:t>Le recours est recevable pour avoir été déposé selon la forme et dans le délai prescrits (art. 385 al. 1 et 396 al. 1 CPP), concerner une ordonnance de refus de levée d'un séquestre en vue d'une créance compensatrice sujette à contestation auprès de la Chambre de céans (art. 393 al. 1 let. b CPP; Y. JEANNERET / A. KUHN / C. PERRIER DEPEURSINGE (éds), Commentaire romand : Code de procédure pénale suisse, 2ème éd., Bâle 2019, n. 33 ad art. 393, p. 2496), et émaner de la prévenue (art. 104 al. 1 let. a CPP), partie à la procédure qui a qualité pour agir, ayant un intérêt juridiquement protégé à l'annulation ou à la modification de cette décision (art. 382 al. 1 CPP).</w:t>
      </w:r>
    </w:p>
    <w:p>
      <w:r>
        <w:rPr>
          <w:b/>
        </w:rPr>
        <w:t>E. 2</w:t>
      </w:r>
    </w:p>
    <w:p>
      <w:r>
        <w:t>L'intimé E______ SA, qui disposait d'un délai de 10 jours, échéant le 13 mars 2022, reporté au lundi 14 suivant, selon le suivi des envois de la poste, pour faire part de ses observations sur le recours les a transmises le 17 mars 2022, soit tardivement. Ces observations sont dès lors irrecevables.</w:t>
      </w:r>
    </w:p>
    <w:p>
      <w:r>
        <w:rPr>
          <w:b/>
        </w:rPr>
        <w:t>E. 3</w:t>
      </w:r>
    </w:p>
    <w:p>
      <w:r>
        <w:t>La recourante conteste la proportionnalité du séquestre litigieux portant sur ses avoirs LPP.</w:t>
      </w:r>
    </w:p>
    <w:p>
      <w:r>
        <w:t>- 7/11 - P/1479/2012 3.1.1.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(arrêt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(ATF 141 IV 360 consid. 3.2), le séquestre doit être maintenu. Le Tribunal fédéral a ainsi précisé que, dans les situations où l'intéressé serait privé, par le séquestre, de toute source de revenu, se posait la question du respect des conditions minimales d'existence garanti par le droit constitutionnel de sorte que l'autorité pénale, déjà au stade du séquestre, devait tenir compte de l'éventuelle atteinte du minimum vital du prévenu (ATF 141 IV 360 consid. 3.4). 3.1.2. En vertu de la LP, le droit aux prestations de prévoyance est insaisissable (art. 92 LP) aussi longtemps que celles-ci ne sont pas exigibles, c'est-à-dire jusqu'à la survenance de l'événement assuré (retraite, etc.); après cet événement, les rentes/capital versé(s) sont relativement saisissable(s) (art. 93 LP; L. DALLÈVES /B. FOËX /N. JEANDIN (éds), Commentaire romand de la LP, Bâle 2005, n. 163 et ss ad art. 92). D'après le règlement relatif aux comptes de libre passage appliqué par I______ (consultable sur le site https://www.I______.ch/______/fr/reglement-compte-de- libre-passage.pdf), le versement du capital – ce prestataire ne semble pas offrir de</w:t>
      </w:r>
    </w:p>
    <w:p>
      <w:r>
        <w:t>- 8/11 - P/1479/2012 rente – est exigible au plus tôt cinq ans avant l'âge légal de la retraite, pour autant que l'assuré en fasse la demande auprès de la Fondation et que, dans l'hypothèse où il est marié, son conjoint ait acquiescé à la remise intégrale des fonds (art. 6 al. 2 et 4 cum art. 9).</w:t>
      </w:r>
    </w:p>
    <w:p>
      <w:r>
        <w:rPr>
          <w:b/>
        </w:rPr>
        <w:t>E. 3.2</w:t>
      </w:r>
    </w:p>
    <w:p>
      <w:r>
        <w:t>En l'espèce, la recourante ne remet pas en cause l'existence de soupçons suffisants, ni ne conteste le principe du séquestre en vue de garantir une créance compensatrice. Elle soutient, s'inspirant de l'arrêt ATF 141 IV 360, qu'il fallait prendre en considération son minimum vital et lever le séquestre. En l'occurrence, le séquestre litigieux - qui tend à garantir une éventuelle créance compensatrice - ne concerne pas les frais de procédure et, par conséquent, l'art. 268 al. 2 et 3 CPP n'est pas applicable. En outre, la recourante ne fournit aucune indication permettant de déterminer si son capital LPP est exigible ou pas encore. Mais peu importe, il convient de constater que la recourante dispose d'une source de revenu de CHF 2'141.-, soit sa rente AVS. Par ailleurs, s'agissant de ses charges, l'on ignore, en l'absence de justificatif (copie d'un nouveau contrat de bail, etc.), si J______ a effectivement quitté le domicile familial, et le cas échéant, depuis quand, ou s'il s'acquitte de la part du loyer lui revenant, respectivement si la recourante a entrepris des démarches tendant à trouver un logement moins onéreux. On constate en outre que ses revenus ont augmenté depuis la précédente requête de novembre 2019 et ses charges baissé. La recourante n'étant ainsi pas dans une situation où elle serait privée de tout revenu, l'autorité d'instruction n'est pas tenue de procéder à un examen détaillé de la situation financière de la prévenue, notamment sous l'angle des art. 92 et 93 LP – prérogative qui ressortit au juge du fond, voire à l'office compétent en matière de poursuites –, mais doit uniquement s'assurer que la mesure demeure proportionnée, sous l'angle de la vraisemblance. Des considérations qui précèdent, il résulte que le séquestre demeure, en l'état, conforme aux prescriptions légales et proportionné, ce d'autant plus que l'audience de jugement a été fixée au mois de juin 2022. L'ordonnance querellée doit donc être confirmée.</w:t>
      </w:r>
    </w:p>
    <w:p>
      <w:r>
        <w:rPr>
          <w:b/>
        </w:rPr>
        <w:t>E. 4</w:t>
      </w:r>
    </w:p>
    <w:p>
      <w:r>
        <w:t>La prévenue, qui succombe, supportera les frais envers l'État, lesquels seront fixés en totalité à CHF 900.- (art. 428 al. 1 CPP et 13 al. 1 du Règlement fixant le tarif des frais en matière pénale, RTFMP; E 4 10.03), étant relevé que l'autorité de recours est tenue de taxer les frais même lorsque le justiciable est au bénéfice d'une défense</w:t>
      </w:r>
    </w:p>
    <w:p>
      <w:r>
        <w:t>- 9/11 - P/1479/2012 d'office (arrêts du Tribunal fédéral 1B_372/2014 du 8 avril 2015 consid. 4.6 et 1B_203/2011 du 18 mai 2011 consid. 4).</w:t>
      </w:r>
    </w:p>
    <w:p>
      <w:r>
        <w:rPr>
          <w:b/>
        </w:rPr>
        <w:t>E. 5</w:t>
      </w:r>
    </w:p>
    <w:p>
      <w:r>
        <w:t>Il n'y a pas lieu d'indemniser, à ce stade (cf. art. 135 al. 2 CPP), l'avocat d'office de la recourante, la procédure n'étant pas terminée.</w:t>
      </w:r>
    </w:p>
    <w:p>
      <w:r>
        <w:rPr>
          <w:b/>
        </w:rPr>
        <w:t>E. 6</w:t>
      </w:r>
    </w:p>
    <w:p>
      <w:r>
        <w:t>Les plaignantes, qui concluaient au rejet du recours, n'ont pas chiffré ni justifié de prétentions en indemnité. Il ne se justifie donc pas de leur en allouer. * * * * *</w:t>
      </w:r>
    </w:p>
    <w:p>
      <w:r>
        <w:t>- 10/11 - P/1479/2012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