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ACPR/30/2022 vom 7. Oktober 2021</w:t>
      </w:r>
    </w:p>
    <w:p>
      <w:r>
        <w:t>GE Cour de justice, 2021-10-07, FR</w:t>
      </w:r>
    </w:p>
    <w:p>
      <w:r>
        <w:rPr>
          <w:b/>
        </w:rPr>
        <w:t xml:space="preserve">Quelle: </w:t>
      </w:r>
      <w:r>
        <w:t>https://mcp.opencaselaw.ch/entscheid/ge_gerichte_ACPR_30_2022</w:t>
      </w:r>
    </w:p>
    <w:p>
      <w:r>
        <w:t>FR: GE_GERICHTE ACPR/30/2022 du 7 octobre 2021</w:t>
      </w:r>
    </w:p>
    <w:p>
      <w:r>
        <w:t>IT: GE_GERICHTE ACPR/30/2022 del 7 ottobre 2021</w:t>
      </w:r>
    </w:p>
    <w:p>
      <w:pPr>
        <w:pStyle w:val="Heading2"/>
      </w:pPr>
      <w:r>
        <w:t>Erwägungen</w:t>
      </w:r>
    </w:p>
    <w:p>
      <w:r>
        <w:rPr>
          <w:b/>
        </w:rPr>
        <w:t>E. 1.1</w:t>
      </w:r>
    </w:p>
    <w:p>
      <w:r>
        <w:t>Le recours est recevable pour avoir été déposé selon la forme et dans le délai prescrits (art. 385 al. 1 et 396 al. 1 CPP) – faute de notification conforme à l'art. 85 al. 2 CPP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la recourante devant la Chambre de céans sont recevables (arrêt du Tribunal fédéral 1B_368/2014 du 5 février 2015 consid. 3.2 in fine).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tout d'abord au Ministère public d'avoir fait une constatation incomplète et erronée des faits.</w:t>
      </w:r>
    </w:p>
    <w:p>
      <w:r>
        <w:t>- 5/9 - P/18256/2021 Dès lors que la Chambre de céans jouit d'un plein pouvoir de cognition en droit et en fait (art. 393 al. 2 CPP) (ATF 137 I 195 consid. 2.3.2 p. 197; arrêt du Tribunal fédéral 1B_524/2012 du 15 novembre 2012 consid. 2.1), les éventuelles constatations incomplètes ou inexactes du Ministère public auront été corrigées dans l'état de fait établi ci-devant. Partant, ce grief sera rejeté.</w:t>
      </w:r>
    </w:p>
    <w:p>
      <w:r>
        <w:rPr>
          <w:b/>
        </w:rPr>
        <w:t>E. 4</w:t>
      </w:r>
    </w:p>
    <w:p>
      <w:r>
        <w:t>La recourante reproche ensuite au Ministère public de ne pas être entré en matière sur sa plainte pénale s'agissant des lésions corporelles simples par négligence dont elle soutient avoir été victime.</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4.2</w:t>
      </w:r>
    </w:p>
    <w:p>
      <w:r>
        <w:t>Se rend coupable de lésions corporelles par négligence (art. 125 al. 1 CP) celui qui, par négligence, aura fait subir à une personne une atteinte à l'intégrité corporelle ou à la santé.</w:t>
      </w:r>
    </w:p>
    <w:p>
      <w:r>
        <w:rPr>
          <w:b/>
        </w:rPr>
        <w:t>E. 4.2.1</w:t>
      </w:r>
    </w:p>
    <w:p>
      <w:r>
        <w:t>Sous l'effet d'un choc ou au moyen d'un objet, l'auteur dégrade le corps humain d'autrui, que la lésion soit interne ou externe; il provoque une fracture, une foulure, une coupure ou toute autre altération constatable du corps humain (arrêt du Tribunal fédéral 6B_187/2015 du 28 avril 2015 consid. 2.1).</w:t>
      </w:r>
    </w:p>
    <w:p>
      <w:r>
        <w:t>- 6/9 - P/18256/2021</w:t>
      </w:r>
    </w:p>
    <w:p>
      <w:r>
        <w:rPr>
          <w:b/>
        </w:rPr>
        <w:t>E. 4.2.2</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t>L'infraction de lésions corporelles par négligence suppose en règle générale un comportement actif. On admet toutefois qu'elle peut être commise par omission, lorsque l'auteur avait une obligation juridique d'agir découlant d'une position de garant, que celle-ci résulte de la loi, d'un contrat, d'une communauté de risques ou de la création d'un risque (art. 11 al. 1, 2 et 3 CP; ATF 141 IV 249 consid. 1.1 p. 251 s.; 134 IV 255 consid. 4.2.1 p. 259 s. et les références citées). L'auteur est dans une position de garant notamment s'il a le devoir, découlant de la loi ou d'un acte juridique, de surveiller une source de danger, qui peut être une personne, un animal ou une chose (ATF 101 IV 30 consid. 2b).</w:t>
      </w:r>
    </w:p>
    <w:p>
      <w:r>
        <w:rPr>
          <w:b/>
        </w:rPr>
        <w:t>E. 4.2.3</w:t>
      </w:r>
    </w:p>
    <w:p>
      <w:r>
        <w:t>Pour qu'il y ait lésions corporelles par négligence, il ne suffit pas de constater la violation fautive d'un devoir de prudence d'une part et l'existence des lésions corporelles d'autre part, il faut encore qu'il existe un rapport de causalité naturelle et adéquate entre cette violation et les lésions subies.</w:t>
      </w:r>
    </w:p>
    <w:p>
      <w:r>
        <w:rPr>
          <w:b/>
        </w:rPr>
        <w:t>E. 4.3</w:t>
      </w:r>
    </w:p>
    <w:p>
      <w:r>
        <w:t>En l'espèce, il ressort du dossier que la recourante a subi des lésions en raison de l'accrochage entre les deux animaux. Bien que le formulaire destiné au SCAV atteste que les blessures ont été causées par un chien, la recourante n'a pas été capable de dire quel animal en était la cause, ce que le SCAV a d'ailleurs également constaté par lettre du 30 septembre 2021. Les documents produits par la recourante, en lien avec son passage aux urgences, ne font en outre pas état des blessures subies. À l'exception de la mention "accident", aucune information sur les raisons de la venue de la recourante n'était répertoriée en sus. Les photographies des écorchures de cette dernière ne permettent pas non plus de déterminer de quel animal elles proviennent. Aucun élément au dossier n'établit donc l'origine des lésions constatées. De surcroit, on peine à imaginer quel acte d'instruction permettrait d'élucider ce fait. En effet, seules la recourante et sa mère étaient présentes au moment de l'accrochage. Or, si même la victime n'a pu expliquer quel animal l'avait blessé, au vu de la rapidité des événements, on ne voit pas comment sa mère pourrait fournir de telles informations. Les auditions de B______ et de la recourante n'apporteraient ainsi aucun élément utile pour apprécier ce fait. Il en va de même de celle du mis en cause puisqu'il n'a pas été témoin des faits. Ce dernier a, certes, omis d'attacher son chien, alors qu'il en avait le devoir. Cela étant, il n'est pas établi que son animal a provoqué les lésions subies par la plaignante</w:t>
      </w:r>
    </w:p>
    <w:p>
      <w:r>
        <w:t>- 7/9 - P/18256/2021 au visage, celles-ci pouvant, vu leur nature, avoir été causées par son chat, qu'elle tenait dans ses bras, ce qu'aucun acte d'instruction ne peut déterminer. On ne saurait par ailleurs considérer qu'il existe un lien de causalité naturelle et adéquate entre la non-tenue du chien en laisse et les lésions possiblement occasionnées à la plaignante par son chat, celle-ci ayant alors la maîtrise exclusive de son animal. Les conditions de l'art. 125 CP font ainsi défaut et les chances d'un acquittement paraissent nettement plus élevées que celles d'une condamnation.</w:t>
      </w:r>
    </w:p>
    <w:p>
      <w:r>
        <w:rPr>
          <w:b/>
        </w:rPr>
        <w:t>E. 5</w:t>
      </w:r>
    </w:p>
    <w:p>
      <w:r>
        <w:t>Justifiée, l'ordonnance querellée sera donc confirmée et le recours rejeté.</w:t>
      </w:r>
    </w:p>
    <w:p>
      <w:r>
        <w:rPr>
          <w:b/>
        </w:rPr>
        <w:t>E. 6</w:t>
      </w:r>
    </w:p>
    <w:p>
      <w:r>
        <w:t>La recourante, qui succombe, supportera les frais envers l'État, qui seront fixés en totalité à CHF 900.- (art. 428 al. 1 CPP et 13 al. 1 du Règlement fixant le tarif des frais en matière pénale, RTFMP; E 4 10.03). * * * * *</w:t>
      </w:r>
    </w:p>
    <w:p>
      <w:r>
        <w:t>- 8/9 - P/18256/2021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