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ACPR/30/2021 vom 5. November 2020</w:t>
      </w:r>
    </w:p>
    <w:p>
      <w:r>
        <w:t>GE Cour de justice, 2020-11-05, FR</w:t>
      </w:r>
    </w:p>
    <w:p>
      <w:r>
        <w:rPr>
          <w:b/>
        </w:rPr>
        <w:t xml:space="preserve">Quelle: </w:t>
      </w:r>
      <w:r>
        <w:t>https://mcp.opencaselaw.ch/entscheid/ge_gerichte_ACPR_30_2021</w:t>
      </w:r>
    </w:p>
    <w:p>
      <w:r>
        <w:t>FR: GE_GERICHTE ACPR/30/2021 du 5 novembre 2020</w:t>
      </w:r>
    </w:p>
    <w:p>
      <w:r>
        <w:t>IT: GE_GERICHTE ACPR/30/2021 del 5 novembre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- 6/10 - P/13501/2020</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pénale.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 R. PFISTER-LIECHTI (éd.), La procédure pénale fédérale, Fondation pour la formation continue des juges suisses, Berne 2010, p. 62 ; DCPR/85/2011 du 27 avril 2011).</w:t>
      </w:r>
    </w:p>
    <w:p>
      <w:r>
        <w:t>- 7/10 - P/13501/2020</w:t>
      </w:r>
    </w:p>
    <w:p>
      <w:r>
        <w:rPr>
          <w:b/>
        </w:rPr>
        <w:t>E. 3.2</w:t>
      </w:r>
    </w:p>
    <w:p>
      <w:r>
        <w:t>La qualification juridique des lésions subies par le recourant se définit en relation avec les art. 122 et 123 CP. 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L'art. 123 ch. 1 CP punit sur plainte celui qui, intentionnellement, aura fait subir à une personne une autre atteinte à l'intégrité corporelle ou à la santé. L'art. 123 CP réprime les lésions du corps humain ou de la santé qui ne peuvent être qualifiées de graves au sens de l'art. 122 CP (ATF 134 IV 189 consid. 1.4 p. 192 ; arrêt du Tribunal fédéral 6B_1204/2017 du 17 mai 2018 consid. 3.1).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t>- 8/10 - P/13501/2020</w:t>
      </w:r>
    </w:p>
    <w:p>
      <w:r>
        <w:rPr>
          <w:b/>
        </w:rPr>
        <w:t>E. 3.3</w:t>
      </w:r>
    </w:p>
    <w:p>
      <w:r>
        <w:t>En l'espèce, il ressort des déclarations du second témoin que, lors de l'accident incriminé, le recourant n'a pas respecté un cédez-le-passage et que l'intimé a ainsi klaxonné, ce qui corrobore la version du mis en cause. Selon le premier témoin, après cette première manœuvre du recourant, le mis en cause avait essayé de dépasser celui-ci, qui s'était alors déporté sur le centre de la voie, afin de le bloquer. Le mis en cause avait freiné d'urgence, sans parvenir à éviter le choc. Par ailleurs, le témoin auquel se réfère, sans plus de précision, le recourant, apparaît être le témoin entendu le 15 juillet 2019. Sa version ne correspond pas à celle du recourant, mais bien plutôt à celle du mis en cause. Dans ces circonstances, force est de constater, avec le Ministère public, qu'il n'existe pas de soupçons suffisants de violation des règles de la circulation routière, ni par négligence ni a fortiori intentionnelle, par le mis en cause. En outre, si le recourant soutient avoir subi des dermabrasions, il n'en démontre nullement l'existence, aucun certificat médical ni constat de lésions ayant été produit, en dépit d'une annonce en ce sens à la police. Par ailleurs, la perte de connaissance alléguée n'est confirmée par aucun des témoins, le premier ayant affirmé être intervenu pour maîtriser le recourant après le coup de pied litigieux, le second ayant confirmé ces faits. Dans ces circonstances, toute tentative d'infraction pénale imputable à l'automobiliste ne peut pas non plus être retenue.</w:t>
      </w:r>
    </w:p>
    <w:p>
      <w:r>
        <w:rPr>
          <w:b/>
        </w:rPr>
        <w:t>E. 4</w:t>
      </w:r>
    </w:p>
    <w:p>
      <w:r>
        <w:t>Justifiée, l'ordonnance querellée sera donc confirmée.</w:t>
      </w:r>
    </w:p>
    <w:p>
      <w:r>
        <w:rPr>
          <w:b/>
        </w:rPr>
        <w:t>E. 5</w:t>
      </w:r>
    </w:p>
    <w:p>
      <w:r>
        <w:t>Le recourant, qui succombe, supportera les frais envers l'État, fixés en totalité à CHF 900.-, émolument de décision compris (art. 428 al. 1 CPP et 13 al. 1 du Règlement fixant le tarif des frais en matière pénale, RTFMP ; E 4 10.03).</w:t>
      </w:r>
    </w:p>
    <w:p>
      <w:r>
        <w:t>* * * * *</w:t>
      </w:r>
    </w:p>
    <w:p>
      <w:r>
        <w:t>- 9/10 - P/13501/2020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