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ACPR/309/2019 vom 15. März 2019</w:t>
      </w:r>
    </w:p>
    <w:p>
      <w:r>
        <w:t>GE Cour de justice, 2019-03-15, FR</w:t>
      </w:r>
    </w:p>
    <w:p>
      <w:r>
        <w:rPr>
          <w:b/>
        </w:rPr>
        <w:t xml:space="preserve">Quelle: </w:t>
      </w:r>
      <w:r>
        <w:t>https://mcp.opencaselaw.ch/entscheid/ge_gerichte_ACPR_309_2019</w:t>
      </w:r>
    </w:p>
    <w:p>
      <w:r>
        <w:t>FR: GE_GERICHTE ACPR/309/2019 du 15 mars 2019</w:t>
      </w:r>
    </w:p>
    <w:p>
      <w:r>
        <w:t>IT: GE_GERICHTE ACPR/309/2019 del 15 marzo 2019</w:t>
      </w:r>
    </w:p>
    <w:p>
      <w:pPr>
        <w:pStyle w:val="Heading2"/>
      </w:pPr>
      <w:r>
        <w:t>Erwägungen</w:t>
      </w:r>
    </w:p>
    <w:p>
      <w:r>
        <w:rPr>
          <w:b/>
        </w:rPr>
        <w:t>E. 1</w:t>
      </w:r>
    </w:p>
    <w:p>
      <w:r>
        <w:t>En tant qu'ils ont été interjetés par la même partie et ont trait au même complexe de faits, il se justifie de joindre les deux recours, sur lesquels la Chambre de céans statuera par un seul et même arrêt.</w:t>
      </w:r>
    </w:p>
    <w:p>
      <w:r>
        <w:rPr>
          <w:b/>
        </w:rPr>
        <w:t>E. 2.1</w:t>
      </w:r>
    </w:p>
    <w:p>
      <w:r>
        <w:t>Les recours sont recevables pour avoir été déposés selon la forme et dans le délai prescrits (art. 385 al. 1 et 396 al. 1 CPP), concerner, chacun,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2.2</w:t>
      </w:r>
    </w:p>
    <w:p>
      <w:r>
        <w:t>Contrairement à son intitulé, le premier recours ne porte pas sur une ordonnance de refus de mise en liberté, mais sur la prolongation de la détention provisoire prononcée le 15 mars 2019. Par conséquent, le TMC ayant, par la suite, prononcé la mise en détention pour des motifs de sûreté, le recourant ne dispose pas d'un intérêt juridiquement protégé actuel à faire trancher son premier recours, qui est devenu sans objet. Seul le second recours sera dès lors examiné.</w:t>
      </w:r>
    </w:p>
    <w:p>
      <w:r>
        <w:rPr>
          <w:b/>
        </w:rPr>
        <w:t>E. 3</w:t>
      </w:r>
    </w:p>
    <w:p>
      <w:r>
        <w:t>Le recourant conteste l'existence de charges suffisantes.</w:t>
      </w:r>
    </w:p>
    <w:p>
      <w:r>
        <w:t>- 9/14 - P/137/2019</w:t>
      </w:r>
    </w:p>
    <w:p>
      <w:r>
        <w:rPr>
          <w:b/>
        </w:rPr>
        <w:t>E. 3.1</w:t>
      </w:r>
    </w:p>
    <w:p>
      <w:r>
        <w:t>À teneur de l'art. 221 al. 1 première phrase CPP, la détention pour des motifs de sûreté ne peut être ordonnée que lorsque le prévenu est fortement soupçonné d'avoir commis un crime ou un délit. En d'autres termes, pour qu'une personne soit placée en détention pour des motifs de sûreté,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 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 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3.2</w:t>
      </w:r>
    </w:p>
    <w:p>
      <w:r>
        <w:t>Selon l'art. 190 al. 1 CP, celui qui, notamment en usant de menace ou de violence, en exerçant sur sa victime des pressions d'ordre psychique ou en la mettant hors d'état de résister, contraint une personne de sexe féminin à subir l'acte sexuel, est passible d'une peine privative de liberté de un à dix ans. À teneur de l'art. 191 CP, celui qui, sachant qu'une personne est incapable de discernement ou de résistance, en a profité pour commettre sur elle l'acte sexuel, un acte analogue ou un autre acte d'ordre sexuel, est passible d'une peine privative de liberté de dix ans au plus ou d'une peine pécuniaire.</w:t>
      </w:r>
    </w:p>
    <w:p>
      <w:r>
        <w:rPr>
          <w:b/>
        </w:rPr>
        <w:t>E. 3.3</w:t>
      </w:r>
    </w:p>
    <w:p>
      <w:r>
        <w:t>En l'espèce, bien que les faits reprochés au recourant par l'acte d'accusation se soient produits à huis-clos, les déclarations des deux plaignantes sont crédibles et constantes. Par ailleurs, les témoignages des amis des parties – qui n'ont assisté qu'aux évènements ayant précédé et/ou suivi les faits retenus par l'acte d'accusation – ne contredisent pas la version des plaignantes. De plus, les constats médicaux n'excluent pas les comportements reprochés au recourant, voire, dans le cas de E______, seraient plutôt de nature à les corroborer. Il s'ensuit que les charges retenues jusqu'ici par le TMC ne se sont pas amoindries. Le recourant considère au contraire que les charges se sont réduites, compte tenu de l'attitude des plaignantes à son égard, au cours des deux soirées respectives. Or, aucun des comportements qu'il relève concernant – ou qu'il prête à – E______, durant la soirée en discothèque, pendant le transport en taxi et à l'arrivée à D______ n'amoindrit les soupçons selon lesquels, lors des faits qui se sont déroulés à son</w:t>
      </w:r>
    </w:p>
    <w:p>
      <w:r>
        <w:t>- 10/14 - P/137/2019 domicile, la précitée n'était pas d'accord d'entretenir une relation sexuelle et avait clairement manifesté son opposition. De même, aucun des comportements que le recourant relève s'agissant de J______, voire qu'il lui prête, avant les faits reprochés, n'amoindrit les soupçons que le recourant lui aurait prodigué des caresses intimes alors qu'elle dormait et n'avait pas donné – ou n'était pas en état de donner – son consentement. Aucun des témoins n'a assisté au prétendu baiser que le recourant allègue avoir échangé avec la plaignante avant les faits – si tant est que cet événement soit relevant –, de sorte que le témoignage de O______, qui ne fait que reprendre ce que le recourant lui a dit en y ajoutant sa propre opinion, n'est pas de nature à réduire les charges. L'absence de GHB dans les restes de la boisson bue par J______ avant les faits n'est pas non plus déterminante à ce stade. Il s'ensuit que les charges retenues par l'acte d'accusation, suffisantes et graves, permettaient, en application de l'art. 221 al. 1 1ère phrase CPP, au TMC de prononcer la détention pour des motifs de sûreté.</w:t>
      </w:r>
    </w:p>
    <w:p>
      <w:r>
        <w:rPr>
          <w:b/>
        </w:rPr>
        <w:t>E. 4</w:t>
      </w:r>
    </w:p>
    <w:p>
      <w:r>
        <w:t>Le recourant conteste l'existence d'un risque de fuite.</w:t>
      </w:r>
    </w:p>
    <w:p>
      <w:r>
        <w:rPr>
          <w:b/>
        </w:rPr>
        <w:t>E. 4.1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w:t>
      </w:r>
    </w:p>
    <w:p>
      <w:r>
        <w:rPr>
          <w:b/>
        </w:rPr>
        <w:t>E. 4.2</w:t>
      </w:r>
    </w:p>
    <w:p>
      <w:r>
        <w:t>En l'espèce, au vu des faits pour lesquels le recourant est renvoyé en jugement, de la peine menace et concrètement encourue pour deux infractions à l'intégrité sexuelle, dont l'une prévoit une peine plancher d'un an de prison, le risque de fuite apparaît très concret à ce stade de la procédure, compte tenu de la situation personnelle du recourant. En effet, âgé de 24 ans, il est de nationalité Q______ et n'est au bénéfice que d'une autorisation de séjour en Suisse – désormais échue à teneur du dossier –, où il réside depuis 2011. Depuis son arrivée à Genève, à l'âge de 16 ans, il a acquis une formation de ______ – qu'il n'a pas mise en pratique – et entamé un apprentissage de ______, qu'il n'a à ce jour pas terminé. Sa mère et sa demi-sœur vivent certes à Genève, mais son père, sa belle-mère et ses demi-frère et demi-sœur vivent aux Q______, où il a lui-même vécu, entre 2010 et 2011, et suivi une partie de sa scolarité. Il parle couramment l'anglais. À Genève il n'entretient pas de relation sentimentale stable ni n'a de lien professionnel solide, n'ayant pas terminé</w:t>
      </w:r>
    </w:p>
    <w:p>
      <w:r>
        <w:t>- 11/14 - P/137/2019 sa formation. Le risque est donc grand, au vu de sa situation sur le plan pénal, qu'il décide, pour éviter un procès, voire une condamnation, pour viol, de retourner vivre dans le pays dont il est ressortissant, où il a une famille et où il pourrait terminer la formation entamée en Suisse. C'est donc à bon escient que le risque de fuite a été retenu par l'ordonnance querellée.</w:t>
      </w:r>
    </w:p>
    <w:p>
      <w:r>
        <w:rPr>
          <w:b/>
        </w:rPr>
        <w:t>E. 5</w:t>
      </w:r>
    </w:p>
    <w:p>
      <w:r>
        <w:t>Le recourant conteste l'existence d'un risque de réitération.</w:t>
      </w:r>
    </w:p>
    <w:p>
      <w:r>
        <w:rPr>
          <w:b/>
        </w:rPr>
        <w:t>E. 5.1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 135 I 71 consid. 2.3 p. 73 ; 133 I 270 consid. 2.2 p. 276 et les arrêts cités). Bien qu'une application littérale de l'art. 221 al. 1 let. c CPP suppose l'existence d'antécédents, le risque de réitération peut être également admis dans des cas particu- liers alors qu'il n'existe qu'un antécédent, voire aucun dans les cas les plus graves. La prévention du risque de récidive doit en effet permettre de faire prévaloir l'intérêt à la sécurité publique sur la liberté personnelle du prévenu (ATF 137 IV 13 consid. 3/4 p. 18 ss ;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 ou de délits graves ("Verbrechen oder schwere Vergehen", ATF 137 IV 84 consid. 3.2 p. 86 ; DCPR/205/2011 du 9 août 2011), étant observé que, lorsqu'il s'agit de délits de violence graves ou de délits sexuels, la jurisprudence se montre moins stricte dans l'exigence de ladite vraisemblance, car le risque à faire courir aux victimes potentielles est alors considéré comme trop important. En pareil cas, il convient de tenir compte de l'état psychique du prévenu, de son imprévisibilité ou de son agressivité (ATF 123 I 268 consid. 2 p. 271).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rPr>
          <w:b/>
        </w:rPr>
        <w:t>E. 5.2</w:t>
      </w:r>
    </w:p>
    <w:p>
      <w:r>
        <w:t>En l'espèce, le recourant est renvoyé en jugement pour deux délits graves contre l'intégrité sexuelle, en raison de faits commis à moins d'un mois d'intervalle contre deux plaignantes différentes. Compte tenu des déclarations du recourant, qui a vu, dans les deux cas, un consentement de la part de jeunes filles âgées respective- ment, au moment des faits, de 17 et 18 ans, il est sérieusement à craindre qu'il ne se retrouve, en cas de libération, dans une situation analogue. Or, l'expertise psychiatrique, qui aurait, le cas échéant, permis d'exclure un tel risque, étant en cours, elle n'est pas de nature à renseigner sur cet aspect. C'est donc à raison que le</w:t>
      </w:r>
    </w:p>
    <w:p>
      <w:r>
        <w:t>- 12/14 - P/137/2019 TMC a retenu l'existence d'un risque de réitération, même en l'absence d'antécédent judiciaire.</w:t>
      </w:r>
    </w:p>
    <w:p>
      <w:r>
        <w:rPr>
          <w:b/>
        </w:rPr>
        <w:t>E. 6</w:t>
      </w:r>
    </w:p>
    <w:p>
      <w:r>
        <w:t>Compte tenu des risques retenus, point n'est besoin d'examiner si s'y ajoute un risque de collusion.</w:t>
      </w:r>
    </w:p>
    <w:p>
      <w:r>
        <w:rPr>
          <w:b/>
        </w:rPr>
        <w:t>E. 7</w:t>
      </w:r>
    </w:p>
    <w:p>
      <w:r>
        <w:t>Le recourant demande à être mis au bénéfice de mesures de substitution.</w:t>
      </w:r>
    </w:p>
    <w:p>
      <w:r>
        <w:rPr>
          <w:b/>
        </w:rPr>
        <w:t>E. 7.1</w:t>
      </w:r>
    </w:p>
    <w:p>
      <w:r>
        <w:t>Conformément au principe de la proportionnalité (art. 36 al. 3 Cst.), il convient d'examiner les possibilités de mettre en œuvre d'autres solutions moins domma- 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 7 décembre 2011 consid. 4.2). Lorsque la mesure ne consiste pas uniquement en l'accomplisse- ment d'un acte ponctuel, sa durée doit être limitée dans le temps (ATF 141 IV 190 consid. 3.3 p. 193).</w:t>
      </w:r>
    </w:p>
    <w:p>
      <w:r>
        <w:rPr>
          <w:b/>
        </w:rPr>
        <w:t>E. 7.2</w:t>
      </w:r>
    </w:p>
    <w:p>
      <w:r>
        <w:t>En l'espèce, les mesures proposées par le recourant (dépôt du passeport, annonce à un poste de police et restriction de périmètre) ne concernent que le risque de fuite et ne sont aucunement de nature à pallier le risque de réitération. En l'occurrence, au vu des dénégations du recourant et en l'absence d'expertise psychiatrique, il n'est pas possible d'ordonner une mesure thérapeutique, que le recourant ne propose d'ailleurs pas.</w:t>
      </w:r>
    </w:p>
    <w:p>
      <w:r>
        <w:rPr>
          <w:b/>
        </w:rPr>
        <w:t>E. 8</w:t>
      </w:r>
    </w:p>
    <w:p>
      <w:r>
        <w:t>Au vu de la peine concrètement encourue sur la base des faits retenus par l'acte d'accusation, la détention ordonnée jusqu'au 1er juillet 2019 ne viole pas le principe de la proportionnalité.</w:t>
      </w:r>
    </w:p>
    <w:p>
      <w:r>
        <w:rPr>
          <w:b/>
        </w:rPr>
        <w:t>E. 9</w:t>
      </w:r>
    </w:p>
    <w:p>
      <w:r>
        <w:t>Au vu de ce qui précède, le recours s'avère infondé et doit être rejeté.</w:t>
      </w:r>
    </w:p>
    <w:p>
      <w:r>
        <w:rPr>
          <w:b/>
        </w:rPr>
        <w:t>E. 10</w:t>
      </w:r>
    </w:p>
    <w:p>
      <w:r>
        <w:t>Le recourant, qui succombe, supportera les frais envers l'État, qui comprendront un émolument de CHF 900.- (art. 428 al. 1 CPP et 13 al. 1 du Règlement fixant le tarif des frais en matière pénale, RTFMP ; E 4 10.03). * * * * *</w:t>
      </w:r>
    </w:p>
    <w:p>
      <w:r>
        <w:t>- 13/14 - P/137/2019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