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ACPR/308/2020 vom 9. April 2020</w:t>
      </w:r>
    </w:p>
    <w:p>
      <w:r>
        <w:t>GE Cour de justice, 2020-04-09, FR</w:t>
      </w:r>
    </w:p>
    <w:p>
      <w:r>
        <w:rPr>
          <w:b/>
        </w:rPr>
        <w:t xml:space="preserve">Quelle: </w:t>
      </w:r>
      <w:r>
        <w:t>https://mcp.opencaselaw.ch/entscheid/ge_gerichte_ACPR_308_2020</w:t>
      </w:r>
    </w:p>
    <w:p>
      <w:r>
        <w:t>FR: GE_GERICHTE ACPR/308/2020 du 9 avril 2020</w:t>
      </w:r>
    </w:p>
    <w:p>
      <w:r>
        <w:t>IT: GE_GERICHTE ACPR/308/2020 del 9 aprile 2020</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w:t>
      </w:r>
    </w:p>
    <w:p>
      <w:r>
        <w:rPr>
          <w:b/>
        </w:rPr>
        <w:t>E. 1.2</w:t>
      </w:r>
    </w:p>
    <w:p>
      <w:r>
        <w:t>Bien que la détention provisoire du recourant ait été prolongée jusqu'au 5 juin 2020, le recourant conserve un intérêt juridiquement protégé à ce que la Chambre de céans examine son recours contre l'ordonnance ayant rejeté sa demande de mise en liberté (cf. ACPR/2836/2016 du 13 mai 2016 par analogie).</w:t>
      </w:r>
    </w:p>
    <w:p>
      <w:r>
        <w:rPr>
          <w:b/>
        </w:rPr>
        <w:t>E. 2</w:t>
      </w:r>
    </w:p>
    <w:p>
      <w:r>
        <w:t>Le recourant minimise les soupçons d'infraction grave à l'art. 19 al. 1 et 2 LStup, qui apparaissent en l'état suffisants à justifier son maintien en détention provisoire, au sens de l'art. 221 al. 1 première phrase CPP. Le recourant a en effet admis, devant la police et le Ministère public vaudois, avoir su qu'il allait chercher, le 9 mai 2019, de la cocaïne à Bâle, en compagnie de C______. S'il est ensuite revenu sur ses déclarations, expliquant désormais n'avoir eu connaissance du fait que de la cocaïne se trouvait dans son véhicule qu'au moment de son interpellation, C______ a quant à lui expliqué de manière détaillée les circonstances dans lesquelles il en avait informé le recourant à tout le moins au moment où il avait placé la drogue dans le bidon, donc à Bâle, de sorte qu'il existe</w:t>
      </w:r>
    </w:p>
    <w:p>
      <w:r>
        <w:t>- 9/13 - P/14383/2019 une prévention suffisante que le recourant a volontairement transporté près de 2 kg de cocaïne de Bâle à Genève. De plus, lorsque le recourant se trouvait dans les locaux de la police vaudoise, après son interpellation, son téléphone a été sollicité une quinzaine de fois par le contact nommé "G______". Les messages envoyés par ce dernier à ce moment-là sont davantage ceux d'un client qui s'impatientait en l'absence de nouvelles d'une livraison, portant sur 100 à 120 grammes de cocaïne pour lesquels il était prêt à payer CHF 5'500.-, que d'un partenaire de poker. Cet élément accrédite donc les premières déclarations de D______ selon lesquelles C______ fournissait de la cocaïne au recourant et que ce dernier l'avait invité à consommer de la drogue. Ces éléments sont également à mettre en lien avec le fait que, selon le rapport de police du 11 février 2020, le recourant a fourni de la cocaïne à au moins trois autres personnes. Partant, les charges portant sur l'implication du recourant dans un trafic de cocaïne, loin de s'alléger, se sont au contraire alourdies au cours de l'instruction.</w:t>
      </w:r>
    </w:p>
    <w:p>
      <w:r>
        <w:rPr>
          <w:b/>
        </w:rPr>
        <w:t>E. 3</w:t>
      </w:r>
    </w:p>
    <w:p>
      <w:r>
        <w:t>Le recourant conteste l'existence d'un risque de collusion.</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3.2</w:t>
      </w:r>
    </w:p>
    <w:p>
      <w:r>
        <w:t>En l'espèce, le recourant, loin de collaborer à l'instruction et reconnaître la quasi- intégralité des faits, conteste, au contraire, la quasi-totalité des charges, a changé de versions des faits et ne collabore pas à l'identification de la personne inscrite dans ses contacts sous le pseudonyme "G______". Il existe dès lors un risque important et concret que, remis en liberté, il n'intervienne pour empêcher les enquêteurs de</w:t>
      </w:r>
    </w:p>
    <w:p>
      <w:r>
        <w:t>- 10/13 - P/14383/2019 découvrir l'identité de celui qui paraît être, au vu des éléments au dossier, l'un des destinataires de la cocaïne transportée le 9 mai 2019 depuis Bâle.</w:t>
      </w:r>
    </w:p>
    <w:p>
      <w:r>
        <w:rPr>
          <w:b/>
        </w:rPr>
        <w:t>E. 4</w:t>
      </w:r>
    </w:p>
    <w:p>
      <w:r>
        <w:t>Le recourant conteste également l'existence d'un risque de fuite.</w:t>
      </w:r>
    </w:p>
    <w:p>
      <w:r>
        <w:rPr>
          <w:b/>
        </w:rPr>
        <w:t>E. 4.1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w:t>
      </w:r>
    </w:p>
    <w:p>
      <w:r>
        <w:rPr>
          <w:b/>
        </w:rPr>
        <w:t>E. 4.2</w:t>
      </w:r>
    </w:p>
    <w:p>
      <w:r>
        <w:t>En l'espèce, le recourant, âgé de 35 ans, ne se trouve en Suisse que depuis huit ou dix ans, selon les différentes versions qu'il a livrées. Auparavant, il a vécu et travaillé six ans en Espagne. Au moment de son arrestation, son entreprise de peinture à Genève était en faillite, il émargeait à l'assistance sociale et habitait chez sa mère, qui s'occupait de son fils. S'il a certes eu la garde – partagée puis complète – de l'enfant depuis plusieurs années, on ne voit pas, indépendamment des conclusions du SPMi, ce qui l'empêcherait, compte tenu de l'âge de son fils – 8 ans –, de l'emmener avec lui, ou le laisser provisoirement à sa mère le temps de s'établir à l'étranger. Il mentionne son intention d'épouser R______, mais il ne la fréquentait que depuis un an au moment de son interpellation. Quant au devis produit à l'appui du recours, établi alors que le recourant était en détention provisoire et sa société en faillite, force est de constater qu'il ne saurait établir l'existence d'une réelle activité économique. Au regard de la peine concrètement encourue, au vu des lourdes charges qui pèsent sur le recourant, son ancrage en Suisse et ses liens familiaux dans ce pays ne sont pas d'une intensité telle à le retenir de partir, pour éviter l'audience de jugement et l'éventuelle peine d'emprisonnement qui pourrait être prononcée contre lui, par exemple en Espagne, où il a déjà immigré seul, où il a de la famille et serait tout autant en mesure de travailler qu'en Suisse. La situation sanitaire actuelle n'est pas de nature à empêcher toute sortie clandestine de Suisse par la voie terrestre ni une entrée en Espagne, à l'heure où l'Europe est en voie de déconfinement, même sans documents d'identité. Le risque est également grand que le recourant, tout en demeurant en Suisse, n'entre dans la clandestinité pour échapper au jugement à venir.</w:t>
      </w:r>
    </w:p>
    <w:p>
      <w:r>
        <w:t>- 11/13 - P/14383/2019</w:t>
      </w:r>
    </w:p>
    <w:p>
      <w:r>
        <w:rPr>
          <w:b/>
        </w:rPr>
        <w:t>E. 5</w:t>
      </w:r>
    </w:p>
    <w:p>
      <w:r>
        <w:t>L'autorité de recours peut ainsi se dispenser d'examiner si le risque de réitération – alternatif – retenu par le TMC et le Ministère public est également réalisé (arrêt du Tribunal fédéral 1B_322/2019 du 17 juillet 2019 consid. 3.3 et la jurisprudence citée).</w:t>
      </w:r>
    </w:p>
    <w:p>
      <w:r>
        <w:rPr>
          <w:b/>
        </w:rPr>
        <w:t>E. 6</w:t>
      </w:r>
    </w:p>
    <w:p>
      <w:r>
        <w:t>Le recourant propose des mesures de substitution à la détention.</w:t>
      </w:r>
    </w:p>
    <w:p>
      <w:r>
        <w:rPr>
          <w:b/>
        </w:rPr>
        <w:t>E. 6.1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w:t>
      </w:r>
    </w:p>
    <w:p>
      <w:r>
        <w:rPr>
          <w:b/>
        </w:rPr>
        <w:t>E. 6.2</w:t>
      </w:r>
    </w:p>
    <w:p>
      <w:r>
        <w:t>En l'espèce, le risque de collusion est bien trop important pour que la seule interdiction de contact suffise à le pallier. Par ailleurs, ni le bracelet électronique ni la présentation à un poste de police – qui ne serviraient qu'à constater la fugue –, pas plus que le dépôt des pièces d'identité et l'interdiction de quitter la Suisse ne seraient de nature à pallier le risque très élevé de fuite, au vu de l'importance de la peine concrètement encourue au vu des infractions reprochées. Il n'existe donc pas de moyens de substitution propre à pallier les risques retenus.</w:t>
      </w:r>
    </w:p>
    <w:p>
      <w:r>
        <w:rPr>
          <w:b/>
        </w:rPr>
        <w:t>E. 7</w:t>
      </w:r>
    </w:p>
    <w:p>
      <w:r>
        <w:t>La détention provisoire, prolongée en dernier lieu au 5 juin 2020 pour la clôture de l'instruction et le renvoi du recourant en jugement, respecte le principe de la proportionnalité (art. 197 al. 1 et 212 al. 3 CPP), au vu de la peine concrètement encourue si les soupçons devaient se confirmer.</w:t>
      </w:r>
    </w:p>
    <w:p>
      <w:r>
        <w:rPr>
          <w:b/>
        </w:rPr>
        <w:t>E. 8</w:t>
      </w:r>
    </w:p>
    <w:p>
      <w:r>
        <w:t>Le recours s'avère ainsi infondé et doit être rejeté.</w:t>
      </w:r>
    </w:p>
    <w:p>
      <w:r>
        <w:rPr>
          <w:b/>
        </w:rPr>
        <w:t>E. 9</w:t>
      </w:r>
    </w:p>
    <w:p>
      <w:r>
        <w:t>Le recourant, qui succombe, supportera les frais envers l'État, seront fixés en totalité à CHF 900.- (art. 428 al. 1 CPP et 13 al. 1 du Règlement fixant le tarif des frais en matière pénale, RTFMP ; E 4 10.03). * * * * *</w:t>
      </w:r>
    </w:p>
    <w:p>
      <w:r>
        <w:t>- 12/13 - P/14383/2019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