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ACPR/307/2024 vom 3. April 2024</w:t>
      </w:r>
    </w:p>
    <w:p>
      <w:r>
        <w:t>GE Cour de justice, 2024-04-03, FR</w:t>
      </w:r>
    </w:p>
    <w:p>
      <w:r>
        <w:rPr>
          <w:b/>
        </w:rPr>
        <w:t xml:space="preserve">Quelle: </w:t>
      </w:r>
      <w:r>
        <w:t>https://mcp.opencaselaw.ch/entscheid/ge_gerichte_ACPR_307_2024</w:t>
      </w:r>
    </w:p>
    <w:p>
      <w:r>
        <w:t>FR: GE_GERICHTE ACPR/307/2024 du 3 avril 2024</w:t>
      </w:r>
    </w:p>
    <w:p>
      <w:r>
        <w:t>IT: GE_GERICHTE ACPR/307/2024 del 3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admet l'existence de charges graves et suffisantes à son encontre. Il n'y a donc pas lieu à s'y attarder, mais à renvoyer, en tant que de besoin, à la motivation adoptée par le premier juge (art. 82 al. 4 CPP; ACPR/747/2020 du 22 octobre 2020 consid. 2 et les références).</w:t>
      </w:r>
    </w:p>
    <w:p>
      <w:r>
        <w:rPr>
          <w:b/>
        </w:rPr>
        <w:t>E. 3</w:t>
      </w:r>
    </w:p>
    <w:p>
      <w:r>
        <w:t>Le recourant estime ne pas présenter de risque de réitération qualifié au sens de l'art. 221 al.1bis let. b CPP.</w:t>
      </w:r>
    </w:p>
    <w:p>
      <w:r>
        <w:rPr>
          <w:b/>
        </w:rPr>
        <w:t>E. 3.1</w:t>
      </w:r>
    </w:p>
    <w:p>
      <w:r>
        <w:t>En vertu de l'art. 221 al. 1 let. c CPP, la détention provisoire peut être ordonnée lorsqu'il y a sérieusement lieu de craindre que le prévenu compromette sérieusement et de manière imminente la sécurité d'autrui en commettant des crimes ou des délits graves après avoir déjà commis des infractions du même genre. Bien qu'une application littérale de cette disposition suppose l'existence d'antécédents, le risque de réitération peut être également admis dans des cas particuliers alors qu'il n'existe qu'un antécédent, voire aucun dans les cas les plus graves. La prévention du risque de récidive doit en effet permettre de faire prévaloir</w:t>
      </w:r>
    </w:p>
    <w:p>
      <w:r>
        <w:t>- 7/11 - P/18405/2023 l'intérêt à la sécurité publique sur la liberté personnelle du prévenu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Sur la base de cette jurisprudence, le nouvel al. 1bis de l'art. 221 CPP – entré en vigueur le 1er janvier 2024 – prévoit le risque de récidive qualifié comme motif de mise en détention. Selon cette disposition, la détention provisoire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Comme il est renoncé à toute infraction préalable (le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(mise en œuvre de la motion 14.3383 de la Commission des affaires juridiques du Conseil des États « Adaptation du code de procédure pénale »), FF 2019 6351, p. 6395).</w:t>
      </w:r>
    </w:p>
    <w:p>
      <w:r>
        <w:rPr>
          <w:b/>
        </w:rPr>
        <w:t>E. 3.2</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143 IV 9 consid. 2.8).</w:t>
      </w:r>
    </w:p>
    <w:p>
      <w:r>
        <w:rPr>
          <w:b/>
        </w:rPr>
        <w:t>E. 3.3</w:t>
      </w:r>
    </w:p>
    <w:p>
      <w:r>
        <w:t>En l'occurrence, le recourant a déjà bénéficié à deux reprises de mesures de substitution – par suite de précédentes préventions en 2021 et 2023, pour tentative de meurtre, tentative de lésions corporelles graves, agression et rixe (P/2______/2021), en cours à son encontre.</w:t>
      </w:r>
    </w:p>
    <w:p>
      <w:r>
        <w:t>- 8/11 - P/18405/2023 Ces poursuites pénales – relevant pourtant d'atteintes graves à l'intégrité corporelles de tiers – ne l'ont pas dissuadé d'enfreindre les mesures de substitution visant à l'empêcher de commettre de nouveaux actes de violence, en particulier l'interdiction de quitter son domicile pendant la nuit – dont la justification alléguée [la nécessité de venir chercher son amie alcoolisée] ne saurait prévaloir l'obligation dont il était astreint –. Il a ainsi, dans ce contexte, été une nouvelle fois prévenu de tentative de meurtre, pour des faits survenus le 19 août 2023 vers 2h40. Dans ces circonstances, le risque de réitération – retenu de manière constante par le TMC, pour la dernière fois le 4 mars 2024, et au demeurant non contesté jusqu'alors – n'a pas diminué et reste important. De plus, la poursuite de son traitement psychothérapeutique, l'abstinence aux toxiques et la possibilité de travailler à sa sortie de prison ne paraissent désormais pas des mesures suffisantes pour l'empêcher de commettre de nouvelles infractions graves, étant souligné qu'il ne lui est pas reproché d'avoir violé ces mesures et qu'il bénéficiait déjà d'une activité occupationnelle auparavant [cours de formation et aide apportée à sa famille]. Enfin, sa prise de conscience alléguée, l'interdiction de quitter son domicile de nuit – cas échéant, avec un bracelet électronique – et sa maladie ne sauraient, en tant que telles, écarter tout risque de récidive, au vu de son intensité. Les autres mesures de substitution proposées [dépôt du passeport et d'une caution, interdiction de quitter la Suisse et de contacter les parties] se rapportent aux risques de fuite et de collusion, non examinés en l'espèce dès lors que le risque de réitération est suffisant à faire échec au recours (arrêt du Tribunal fédéral 7B_1009/2023 du</w:t>
      </w:r>
    </w:p>
    <w:p>
      <w:r>
        <w:rPr>
          <w:b/>
        </w:rPr>
        <w:t>E. 6</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Le recourant plaide au bénéfice d'une défense d'office. 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7.2. En l'occurrence, quand bien même le recourant succombe, on peut admettre que l'exercice du présent recours ne procède pas d'un abus. L'indemnité du défenseur d'office sera fixée à la fin de la procédure (art. 135 al. 2 CPP). * * * * *</w:t>
      </w:r>
    </w:p>
    <w:p>
      <w:r>
        <w:t>- 10/11 - P/18405/2023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