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ACPR/306/2021 vom 7. Mai 2021</w:t>
      </w:r>
    </w:p>
    <w:p>
      <w:r>
        <w:t>GE Cour de justice, 2021-05-07, FR</w:t>
      </w:r>
    </w:p>
    <w:p>
      <w:r>
        <w:rPr>
          <w:b/>
        </w:rPr>
        <w:t xml:space="preserve">Quelle: </w:t>
      </w:r>
      <w:r>
        <w:t>https://mcp.opencaselaw.ch/entscheid/ge_gerichte_ACPR_306_2021</w:t>
      </w:r>
    </w:p>
    <w:p>
      <w:r>
        <w:t>FR: GE_GERICHTE ACPR/306/2021 du 7 mai 2021</w:t>
      </w:r>
    </w:p>
    <w:p>
      <w:r>
        <w:t>IT: GE_GERICHTE ACPR/306/2021 del 7 maggio 2021</w:t>
      </w:r>
    </w:p>
    <w:p>
      <w:pPr>
        <w:pStyle w:val="Heading2"/>
      </w:pPr>
      <w:r>
        <w:t>Erwägungen</w:t>
      </w:r>
    </w:p>
    <w:p>
      <w:r>
        <w:rPr>
          <w:b/>
        </w:rPr>
        <w:t>E. 1.1</w:t>
      </w:r>
    </w:p>
    <w:p>
      <w:r>
        <w:t>En dépit de l'abrogation de l'art. 3 let. a LaCP avec effet au 1er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w:t>
      </w:r>
    </w:p>
    <w:p>
      <w:r>
        <w:t>- 5/9 - PM/1387/2020 contexte appliquer la procédure des art. 363 à 365 CPP (ACPR/112/2019 du 8 février 2019 consid. 3.1).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rPr>
          <w:b/>
        </w:rPr>
        <w:t>E. 1.2</w:t>
      </w:r>
    </w:p>
    <w:p>
      <w:r>
        <w:t>En l'espèce, le recours est recevable, pour avoir été déposé selon la forme et dans le délai prescrits (art. 90 al. 2, 385 al. 1, 390 al. 1 et 396 al. 1 CPP), par la condamnée,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non-paiement fautif de l'amende. Sa situation financière se serait péjorée avec la pandémie.</w:t>
      </w:r>
    </w:p>
    <w:p>
      <w:r>
        <w:rPr>
          <w:b/>
        </w:rPr>
        <w:t>E. 3.1</w:t>
      </w:r>
    </w:p>
    <w:p>
      <w:r>
        <w:t>Selon l'art. 106 CP, le juge du fond est tenu, lorsqu'il fixe une amende - laquelle est nécessairement ferme (art. 105 al. 1 CP) -, de prononcer dans son acte, pour le cas où, de manière fautive, le condamné ne s'en acquitterait pas, une peine privative de liberté de substitution (al. 2). Pour chiffrer celles-ci, il doit tenir compte de la situation de l'auteur - singulièrement de sa capacité financière au moment du jugement (arrêt du Tribunal fédéral 6B_547/2012 du 26 mars 2013 consid. 3.4; M. DUPUIS/ L. MOREILLON/ C. PIGUET/ S. BERGER/ M. MAZOU/ V. RODIGARI (éds), Code pénal - Petit commentaire, 2e éd., Bâle 2017, n. 6 et s. ad art. 106) - afin que la peine corresponde à la faute commise (al. 3). Les art. 35 et 36 al. 2 à 5 CP - relatifs à l'exécution et à la conversion de la peine-pécuniaire - s'appliquent par analogie à l'amende (al. 5).</w:t>
      </w:r>
    </w:p>
    <w:p>
      <w:r>
        <w:t>En vertu de l'art. 35 CP, l'autorité d'exécution fixe au condamné un délai pour le règlement de [l'amende]; elle peut autoriser le paiement par acomptes et, sur requête, prolonger ce délai (al. 1). Si l'intéressé ne paie pas dans le délai imparti, elle intente contre lui une poursuite pour dettes, pour autant qu'un résultat puisse en être attendu (al. 3).</w:t>
      </w:r>
    </w:p>
    <w:p>
      <w:r>
        <w:t>Lorsqu'une contravention est inexécutable par cette dernière voie, elle fait place à une peine privative de liberté de substitution, d'après une clé de conversion de 1 jour pour CHF 100.- d'amende (R. ROTH/ L. MOREILLON (éds), Commentaire romand,</w:t>
      </w:r>
    </w:p>
    <w:p>
      <w:r>
        <w:t>- 6/9 - PM/1387/2020 Code pénal I, art. 1-110 CP, Bâle 2009, n. 19 ad art. 106 et les références citées à la note de bas de page n. 47).</w:t>
      </w:r>
    </w:p>
    <w:p>
      <w:r>
        <w:t>En vertu de l'art. 36 al. 2 CP, lorsque [l'amende] est prononcée par une autorité administrative, un juge doit statuer sur la peine privative de liberté de substitution.</w:t>
      </w:r>
    </w:p>
    <w:p>
      <w:r>
        <w:rPr>
          <w:b/>
        </w:rPr>
        <w:t>E. 3.2</w:t>
      </w:r>
    </w:p>
    <w:p>
      <w:r>
        <w:t>À la suite de la réforme du droit des sanctions du 1er janvier 2018, l'art. 106 CP est resté inchangé, nonobstant l'abrogation des alinéas 3 à 5 de l'art. 36 aCP (non- paiement non fautif de la peine pécuniaire), ce qui a créé une situation différenciée incohérente entre les peines pécuniaires et les contraventions.</w:t>
      </w:r>
    </w:p>
    <w:p>
      <w:r>
        <w:t>La doctrine est toutefois partagée sur le maintien de la notion de faute à l'art. 106 CP. Certains auteurs prônent la conversion "automatique" sans égard à l'existence d'une faute du contrevenant alors que d'autres considèrent que l'art. 106 al. 2 CP devrait continuer à s'appliquer conformément à son texte – lequel subordonne la conversion de l'amende au non-paiement fautif de celle-ci, la notion d'absence de faute correspondant à la péjoration involontaire de la capacité économique du condamné depuis le prononcé du jugement (cf. à ce sujet et pour les références l'ACPR/567/2020 du 25 août 2020 consid. 2.2.2. et 2.5).</w:t>
      </w:r>
    </w:p>
    <w:p>
      <w:r>
        <w:rPr>
          <w:b/>
        </w:rPr>
        <w:t>E. 3.3</w:t>
      </w:r>
    </w:p>
    <w:p>
      <w:r>
        <w:t>En l'espèce, cette controverse peut rester indécise ici.</w:t>
      </w:r>
    </w:p>
    <w:p>
      <w:r>
        <w:t>À supposer que la conversion doive intervenir indépendamment de toute faute, le prononcé d'une peine privative de liberté de substitution de 21 jours – quotité qui n'est pas critiquée par la recourante – serait justifié.</w:t>
      </w:r>
    </w:p>
    <w:p>
      <w:r>
        <w:t>Dans l'hypothèse inverse, l'existence d'une faute devrait être admise. En effet, il apparaît que la situation financière de la société B______, dont la recourante était administratrice unique et qui exploitait un bar à l'enseigne D______, était obérée en 2019 déjà, preuve en sont les considérations de la Cour de justice civile dans son arrêt du 2 mars 2020 relatives aux très nombreuses poursuites d'un montant conséquent auxquelles la société faisait face en 2019. C'est du reste également la conclusion à laquelle parvient le Ministère public dans son acte d'accusation rendu dans le cadre de la P/2______/2020.</w:t>
      </w:r>
    </w:p>
    <w:p>
      <w:r>
        <w:t>Si les restrictions sanitaires liées à la pandémie ont pu contraindre l'intéressée à fermer son bar, celle-ci échoue à démontrer que l'indigence dont elle se prévaut aujourd'hui (perte de son logement et aide de l'Hospice général) serait imputable à la crise sanitaire seule et, partant, que le non-paiement de l'amende litigieuse par ses soins ne serait pas fautif.</w:t>
      </w:r>
    </w:p>
    <w:p>
      <w:r>
        <w:rPr>
          <w:b/>
        </w:rPr>
        <w:t>E. 4</w:t>
      </w:r>
    </w:p>
    <w:p>
      <w:r>
        <w:t>Infondé, le recours doit être rejeté.</w:t>
      </w:r>
    </w:p>
    <w:p>
      <w:r>
        <w:t>- 7/9 - PM/1387/2020</w:t>
      </w:r>
    </w:p>
    <w:p>
      <w:r>
        <w:rPr>
          <w:b/>
        </w:rPr>
        <w:t>E. 5</w:t>
      </w:r>
    </w:p>
    <w:p>
      <w:r>
        <w:t>À teneur de l'art. 132 al. 1 let. b, al. 2 et al. 3 CPP, la peine contraventionnelle à laquelle la recourante s'expose ne remplit pas les critères d'une défense d'office, même en cas d'indigence de l'intéressée, faute de gravité et de complexité en fait ou en droit.</w:t>
      </w:r>
    </w:p>
    <w:p>
      <w:r>
        <w:t>Partant, il n'y a pas lieu de lui accorder une défense d'office pour la présente procédure de recours.</w:t>
      </w:r>
    </w:p>
    <w:p>
      <w:r>
        <w:rPr>
          <w:b/>
        </w:rPr>
        <w:t>E. 6</w:t>
      </w:r>
    </w:p>
    <w:p>
      <w:r>
        <w:t>La recourante, qui succombe, supportera les frais envers l'État, y compris un émolument de décision de CHF 600.- (art. 428 al. 1 CPP et 13 al. 1 du Règlement fixant le tarif des frais en matière pénale, RTFMP ; E 4 10.03), la procédure de demande d'assistance juridique étant gratuite (art. 20 RAJ). * * * * *</w:t>
      </w:r>
    </w:p>
    <w:p>
      <w:r>
        <w:t>- 8/9 - PM/1387/2020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