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ACPR/305/2021 vom 17. November 2020</w:t>
      </w:r>
    </w:p>
    <w:p>
      <w:r>
        <w:t>GE Cour de justice, 2020-11-17, FR</w:t>
      </w:r>
    </w:p>
    <w:p>
      <w:r>
        <w:rPr>
          <w:b/>
        </w:rPr>
        <w:t xml:space="preserve">Quelle: </w:t>
      </w:r>
      <w:r>
        <w:t>https://mcp.opencaselaw.ch/entscheid/ge_gerichte_ACPR_305_2021</w:t>
      </w:r>
    </w:p>
    <w:p>
      <w:r>
        <w:t>FR: GE_GERICHTE ACPR/305/2021 du 17 novembre 2020</w:t>
      </w:r>
    </w:p>
    <w:p>
      <w:r>
        <w:t>IT: GE_GERICHTE ACPR/305/2021 del 17 novembre 2020</w:t>
      </w:r>
    </w:p>
    <w:p>
      <w:pPr>
        <w:pStyle w:val="Heading2"/>
      </w:pPr>
      <w:r>
        <w:t>Erwägungen</w:t>
      </w:r>
    </w:p>
    <w:p>
      <w:r>
        <w:rPr>
          <w:b/>
        </w:rPr>
        <w:t>E. 18</w:t>
      </w:r>
    </w:p>
    <w:p>
      <w:r>
        <w:t>courant, au terme de laquelle B______ SA concluait à la condamnation de A______ et de la société G______ SA, conjointement et solidairement, au paiement de la somme de CHF 700'000.- avec intérêts à 5% dès le 30 septembre 2019, et au prononcé de la mainlevée définitive des commandements de payer notifiés à ceux-ci. Il en ressortait également qu'en 2018 et 2019, C______ avait entamé des démarches auprès de courtiers en remise de commerce en vue de la vente du fonds de commerce. Au mois de juin 2018, un acheteur avait proposé un montant de plus d'un million de francs et au mois de mai 2019, une agence de la place le proposait à des clients pour la somme de CHF 1'500'000.-. A______ avait remis le fonds de commerce, qui ne lui appartenait pas, à des tiers, soit à la société G______ SA, qui avait ainsi repris l'enseigne sans l'avoir jamais acquise auprès de son propriétaire. Ce faisant, A______ avait causé un dommage important à B______ SA. m. m.a. Par avis de prochaine clôture de l'instruction du 1er octobre 2020, le Ministère public a indiqué aux parties qu'il entendait rendre une ordonnance de classement et leur a imparti un délai pour présenter d'éventuelles réquisitions de preuves et/ou solliciter une indemnisation.</w:t>
      </w:r>
    </w:p>
    <w:p>
      <w:r>
        <w:t>- 6/14 - P/1681/2020 m.b. Par pli du 6 octobre 2020, le plaignant a sollicité une audience de confrontation et a rappelé les conclusions civiles prises à l'encontre des prévenus, à hauteur de CHF 5'981.-. m.c. Les prévenus n'ont, quant à eux, pas donné suite à cet avis. C. Dans sa décision querellée, le Ministère public a retenu - s'appuyant notamment sur</w:t>
      </w:r>
    </w:p>
    <w:p>
      <w:r>
        <w:t>l'arrêt A/4______/2020 - que la créance faisant l'objet du commandement de payer en</w:t>
      </w:r>
    </w:p>
    <w:p>
      <w:r>
        <w:t>cause n'était manifestement pas inexistante, de sorte que la notification du</w:t>
      </w:r>
    </w:p>
    <w:p>
      <w:r>
        <w:t>commandement de payer n'était pas un moyen de pression abusif et ne</w:t>
      </w:r>
    </w:p>
    <w:p>
      <w:r>
        <w:t>constituait dès lors pas une contrainte illicite, au sens pénal. Déterminer si le montant</w:t>
      </w:r>
    </w:p>
    <w:p>
      <w:r>
        <w:t>réclamé était exigible et fondé relevait de l'unique compétence du Tribunal civil. Il</w:t>
      </w:r>
    </w:p>
    <w:p>
      <w:r>
        <w:t>n'appartenait donc pas à l'autorité pénale de s'y substituer. Les éléments constitutifs</w:t>
      </w:r>
    </w:p>
    <w:p>
      <w:r>
        <w:t>de l'infraction de tentative de contrainte n'étaient ainsi pas réunis, ce qui justifiait un</w:t>
      </w:r>
    </w:p>
    <w:p>
      <w:r>
        <w:t>classement.</w:t>
      </w:r>
    </w:p>
    <w:p>
      <w:r>
        <w:t>Il avait, de plus, décidé de ne pas donner suite aux réquisitions de preuve sollicitées</w:t>
      </w:r>
    </w:p>
    <w:p>
      <w:r>
        <w:t>par le plaignant, dès lors que l'audience de confrontation requise n'était pas</w:t>
      </w:r>
    </w:p>
    <w:p>
      <w:r>
        <w:t>susceptible d'apporter des éléments qui permettraient de modifier sa conviction, les</w:t>
      </w:r>
    </w:p>
    <w:p>
      <w:r>
        <w:t>positions des parties étant suffisamment étayées par les pièces produites en annexe à</w:t>
      </w:r>
    </w:p>
    <w:p>
      <w:r>
        <w:t>leurs écritures. D. a. À l'appui de son recours, le recourant fait tout d'abord grief à l'autorité intimée d'avoir violé son droit d'être entendu, dans la mesure où il n'avait pas pu participer à l'administration des preuves. Il n'avait, d'une part, pas été convoqué à l'audition police de D______ et, d'autre part, le Ministère public n'avait pas donné suite à sa demande d'audience de confrontation. Son droit d'être entendu avait ensuite été violé sous l'angle de l'absence de motivation de la décision entreprise, laquelle ne traitait nullement de l'infraction à l'art. 169 CP dans sa partie "En droit", alors qu'il s'agissait d'une infraction devant être poursuivie d'office, dont ses éléments constitutifs étaient réunis. Enfin, les éléments constitutifs de l'infraction de contrainte étaient réalisés. B______ SA n'avait rien à vendre, n'ayant ni locaux ni clientèle à remettre à un acquéreur. La créance alléguée dans son commandement de payer était ainsi manifestement mal fondée, ce qui établissait le caractère abusif de la poursuite. Il était insuffisant de reprendre l'arrêt rendu dans le cadre d'une plainte à l'autorité de surveillance, tel que l'avait fait le Ministère public, sans qu'il se livre lui-même à une réflexion propre sur la question.</w:t>
      </w:r>
    </w:p>
    <w:p>
      <w:r>
        <w:t>À la suite de son recours, A______ a produit, le 14 décembre 2020, l'ordonnance de non-entrée en matière, rendue le 10 décembre 2020, dans le cadre de la procédure pénale P/3______/2019. Selon lui, cette décision soutenait qu'il ne s'était pas approprié le fonds de commerce de B______ SA. Il s'ensuivait que le</w:t>
      </w:r>
    </w:p>
    <w:p>
      <w:r>
        <w:t>- 7/14 - P/1681/2020 commandement de payer notifié par la susnommée ne reposait sur aucun fondement, la créance alléguée n'étant pas même rendue vraisemblable. b. Dans ses observations, le Ministère public s'en tient à sa décision et propose le rejet du recours comme étant mal fondé. Il avait requis la police de procéder à l'audition du prévenu, en application de l'art. 309 al. 2 CPP. Le droit de participer à l'administration des preuves ne s'appliquait donc pas à ce stade. Il n'y avait ainsi pas lieu d'interpeller le recourant afin qu'il participe à ladite audition. Son refus de procéder à une audience de confrontation se justifiait par l'application des art. 318 al. 2 CPP et 139 al. 2 CP. Il n'avait pas instruit la question d'une éventuelle violation de l'art. 169 CP, faute de toute infraction pénale alléguée avec vraisemblance. D'ailleurs, seule l'infraction de contrainte était mentionnée dans la plainte et il n'avait en aucun cas retenu - tel que soutenu par le recourant - qu'il était prouvé que B______ SA avait disposé de valeurs patrimoniales inventoriées dans une poursuite pour dettes, se bornant à mentionner cet élément comme figurant dans la plainte du recourant. La demande d'indemnisation avait de surcroît été refusée parce qu'elle ne constituait pas une indemnité au sens de l'art. 433 CPP et non en raison du fait qu'elle découlerait d'une infraction pénale qui n'aurait pas été retenue. Enfin, s'agissant de la tentative de contrainte, les prévenus avaient, au vu des éléments au dossier, usé d'une voie légale pour faire valoir les prétentions qu'ils considéraient avoir envers le plaignant, étant précisé que la pièce produite par le recourant, le 14 décembre 2020, ne venait pas démontrer le contraire. c. Dans ses observations, D______ conclut, sous suite de frais et dépens, y compris une indemnité valant participation aux honoraires d'avocat de B______ SA et de C______, au rejet du recours de A______, dans la mesure où il est recevable s'agissant de la qualité pour agir du précité en lien avec la prétendue réalisation de l'infraction à l'art. 169 CP. Le droit d'être entendu du recourant n'avait pas été violé. D'une part, celui-ci avait eu accès à l'intégralité de la procédure et des pièces produites, sur lesquelles il avait eu la possibilité de prendre position, ce qu'il avait fait. D'autre part, les éléments constitutifs de l'infraction à l'art. 169 CP n'étaient, en tout état, pas réunis. Par ailleurs, les conditions de réalisation de l'infraction énoncée à l'art. 181 CP n'étaient aucunement réunies en l'espèce, dès lors que la société B______ SA avait, dans une démarche de recouvrement fondée et usuelle, documentée par pièces, légitimement requis la notification d'un commandement de payer au recourant, qui lui avait causé un dommage illicite, qu'il appartiendra au juge civil - et non, aux autorités pénales, qui ne sont pas compétentes à cet égard -, qui a été saisi et auprès duquel les démarches suivent régulièrement leur cours, de trancher. Enfin, B______ SA avait recouru contre l'ordonnance de non-entrée en matière rendue le 10 décembre 2020 dans la procédure P/3______/2019. d. Dans sa réplique, le recourant persiste dans ses conclusions et reprend pour l'essentiel l'argumentation développée dans son recours. Il soutient, pour le surplus, concernant son droit de participer à l'administration des preuves, que c'était à tort que</w:t>
      </w:r>
    </w:p>
    <w:p>
      <w:r>
        <w:t>- 8/14 - P/1681/2020 l'autorité intimée fondait son raisonnement sur la jurisprudence en lien avec une non- entrée en matière, dans la mesure où elle avait rendu une ordonnance de classement. Par ailleurs, il s'étonne que D______, qui fut mis en prévention, se charge de la défense des intérêts de B______ SA, également prévenue, au vu du conflit d'intérêt manifeste. Dans ce contexte, celui-ci devrait cesser d'occuper spontanément et à défaut, il devrait le lui être ordonné. e. D______ a dupliqué. Il persiste dans ses conclusions et son argumentation, précisant qu'une demande en paiement contre le recourant avait été déposée et que l'avance de frais y relative avait été acquittée. S'agissant de son mandat, il serait trop aisé de déposer une plainte sans fondement (sanctionnée par une ordonnance de classement) pour priver B______ SA de son défenseur. EN DROIT : 1. 1.1. 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1.2. Les pièces nouvelles produites à l'appui du recours sont recevables, la jurisprudence admettant la production de faits et de moyens de preuve nouveaux en deuxième instance (arrêts du Tribunal fédéral 1B_368/2014 du 5 février 2015 consid. 3.1 et 3.2 et 1B_768/2012 du 15 janvier 2013 consid. 2.1). 1.3. L'objet du litige est circonscrit par la plainte pénale, qui portait exclusivement sur l'accusation de contrainte, voire de tentative de contrainte, et qui est la seule infraction sur laquelle le Ministère public se soit prononcé. Il s'ensuit que l'invocation, en instance de recours seulement, d'une infraction à l'art. 169 CP tombe à faux, puisqu'il n'existe pas de décision préalable du Ministère public sur ce point (art. 393 al. 1 let. a CPP). 2. Le recourant se plaint d'une violation de son droit d'être entendu, dès lors qu'il n'a pas participé à l'administration des preuves avant que le Ministère public ne rende l'ordonnance querellée. 2.1. 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w:t>
      </w:r>
    </w:p>
    <w:p>
      <w:r>
        <w:t>- 9/14 - P/1681/2020 preuves essentielles et de se déterminer sur son résultat lorsque cela est de nature à influer sur la décision à rendre (ATF 142 II 218 consid. 2.3; 140 I 285 consid. 6.3.1). 2.2. Diverses mesures d'investigation peuvent être mises en œuvre avant l'ouverture d'une instruction, telle que l'audition des lésés et suspects par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 2.3. En l'espèce, l'audition du mis en cause a été effectuée dans le cadre des investigations policières, sans que le Ministère public n'ouvre une instruction. En effet, le Ministère public a transmis le dossier à la police pour enquête, le 24 février 2020, en application de l'art. 309 al. 2 CPP, soit bien avant l'ouverture d'une instruction. Durant cette phase préalable, le droit de participer à l'administration des preuves ne s'appliquait pas, de sorte que le recourant n'avait pas être informé de cette audition ni même à y participer. Par la suite, une fois l'instruction ouverte, le Ministère public a dûment interpellé les parties, en leur fixant un délai pour présenter d'éventuelles réquisitions de preuve, conformément à l'art. 318 CPP. Pour le surplus, le recourant a pu faire valoir devant la Chambre de céans les arguments qu'il estimait pertinents. Son droit d'être entendu a ainsi été pleinement respecté. Il s'ensuit que le grief doit être rejeté. 3. Le recourant reproche ensuite au Ministère public de ne pas avoir fait droit à ses réquisitions de preuve.</w:t>
      </w:r>
    </w:p>
    <w:p>
      <w:r>
        <w:t>3.1. Selon l'art. 139 al. 2 CPP, il n'y a pas lieu d'administrer des preuves sur des faits non pertinents, notoires, connus de l'autorité pénale ou déjà suffisamment prouvés. L'art. 139 al. 2 CPP autorise, dans des limites étroites, l'appréciation anticipée des preuves (M. NIGGLI / M. HEER / H. WIPRÄCHTIGER (éds), Strafprozessordnung</w:t>
      </w:r>
    </w:p>
    <w:p>
      <w:r>
        <w:t>- 10/14 - P/1681/2020 / Jugendstrafprozessordnung, Basler Kommentar StPO/JStPO, 2e éd., Bâle 2014, n. 48 ad art. 139). 3.2. En l'occurrence, l'acte d'enquête sollicité vise à confronter les parties. Or, la Chambre de céans constate - à l'instar du Ministère public - que leur position est déjà connue de l'autorité et qu'elle est étayée par les pièces produites en annexe à leurs écritures. Dans ces circonstances, il n'apparaît pas qu'une telle confrontation soit susceptible d'apporter des indices probants, ayant au demeurant tout lieu de penser que les parties maintiendraient leur version. C'est donc à juste titre que le Ministère public n'a pas donné suite à cette requête. 4. Le plaignant estime que des éléments suffisants permettent de renvoyer le prévenu en jugement pour contrainte, voire tentative de contrainte.</w:t>
      </w:r>
    </w:p>
    <w:p>
      <w:r>
        <w:t>4.1. Selon l'art. 319 al. 1 CPP, le ministère public ordonne le classement de tout ou partie de la procédure notamment lorsqu'aucun soupçon justifiant une mise en accusation n'est établi (let. a) ou lorsque les éléments constitutifs d'une infraction ne sont pas réunis (let. b).</w:t>
      </w:r>
    </w:p>
    <w:p>
      <w:r>
        <w:t>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qui découle du principe de la légalité (art. 5 al. 1 Cst. et 2 al. 2 CPP en relation avec les art. 319 al. 1 et 324 CPP; ATF 138 IV 86 consid. 4.2 p. 91),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pp. 288-289).</w:t>
      </w:r>
    </w:p>
    <w:p>
      <w:r>
        <w:t>4.2. Se rend coupable de contrainte selon l'art. 181 CP celui qui, en usant de violence envers une personne ou en la menaçant d'un dommage sérieux, ou en l'entravant de quelque autre manière dans sa liberté d'action, l'aura obligée à faire, ne pas faire ou à laisser faire un acte.</w:t>
      </w:r>
    </w:p>
    <w:p>
      <w:r>
        <w:t>- 11/14 - P/1681/2020</w:t>
      </w:r>
    </w:p>
    <w:p>
      <w:r>
        <w:t>Lorsque la victime ne se laisse pas intimider et n'adopte pas le comportement voulu par l'auteur, ce dernier est punissable de tentative de contrainte (art. 22 al. 1 CP; ATF 129 IV 262 consid. 2.7 p. 270; 106 IV 125 consid. 2b p. 129).</w:t>
      </w:r>
    </w:p>
    <w:p>
      <w:r>
        <w:t>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d'argent est licite. En revanche, utiliser un tel procédé comme moyen de pression est clairement abusif, donc illicite (arrêts du Tribunal fédéral 6B_8/2017 du 15 août 2017 consid. 2.1 et 2.2; 6B_378/2016 précité consid. 2.1 et 2.2; 6B_70/2016 du 2 juin 2016 consid. 4.3.4 non publié in ATF 142 IV 315; 6B_750/2014 du 7 août 2015 consid. 1.1.2; 6S.853/2000 du 9 mai 2001 consid. 4c).</w:t>
      </w:r>
    </w:p>
    <w:p>
      <w:r>
        <w:t>Ainsi, le fondement de la créance invoquée, le montant indiqué sur le commandement de payer et le contexte de sa notification sont autant d'éléments pertinents dans l'appréciation des circonstances du cas d'espèce (R. JORDAN, Les poursuites injustifiées: point de situation, in Revue de l'avocat 2017 p. 131 s. et les arrêts cités).</w:t>
      </w:r>
    </w:p>
    <w:p>
      <w:r>
        <w:t>4.3. En l'occurrence, force est de constater, au vu des explications et des pièces produites par les intimés - notamment l'arrêt A/4______/2020 rendu le 14 mai 2020 par la Chambre de surveillance des Offices des poursuites et faillites -, qu'il existe, sur le plan pénal, un lien suffisant entre la créance invoquée par l'intéressée dans son commandement de payer - sans qu'il n'appartienne aux autorités pénales de décider si ladite créance est fondée ou non, cette question étant de nature civile -, et le montant réclamé. Ce dernier n'apparait d'ailleurs pas exorbitant au regard du montant auquel le fonds de commerce à l'enseigne restaurant le "E______" avait été acquis et n'excède pas le préjudice que la société mise en cause affirme avoir subi et réclame au civil.</w:t>
      </w:r>
    </w:p>
    <w:p>
      <w:r>
        <w:t>Il n'existe ainsi pas de prévention pénale suffisante de tentative de contrainte. Partant, c'est à juste titre que le Ministère public a retenu que le procédé - licite - utilisé par le mis en cause n'est pas un moyen de pression abusif, au sens de la jurisprudence relative à l'art. 181 CP. 5. Dans sa réplique, le recourant a sollicité de la Chambre de céans qu'elle enjoigne à Me D______ de cesser d'occuper en raison d'un prétendu conflit d'intérêt, sans autre motivation. Ce faisant, il prend des conclusions nouvelles, qui sont irrecevables, sauf</w:t>
      </w:r>
    </w:p>
    <w:p>
      <w:r>
        <w:t>- 12/14 - P/1681/2020 à accorder aux intéressés une prolongation du délai de recours, ce que la loi ne permet pas (art. 396 al. 1 et 89 al. 1 CPP). Il est, en effet, communément admis en procédure que la motivation d'un recours doit être entièrement contenue dans l'acte de recours lui-même ; elle ne saurait dès lors être complétée ou corrigée ultérieurement (ATF 134 II 244 consid. 2.4.2 et 2.4.3 p. 247; arrêt du Tribunal fédéral 4A_659/2011 du 7 décembre 2010 consid. 5 publié in SJ 2012 I 231; A. KUHN / Y. JEANNERET / C. PERRIER DEPEURSINGE (éds), Commentaire romand : Code de procédure pénale suisse, Bâle 2019, n. 3 ad art. 385). 6. Justifiée, l'ordonnance querellée sera donc confirmée. 7. Le recourant, qui succombe, supportera les frais envers l'État, fixés en totalité à CHF 1'000.- (art. 428 al. 1 CPP et 13 al. 1 du Règlement fixant le tarif des frais en matière pénale, RTFMP ; E 4 10.03), émolument de décision compris. 8. 8.1. Les intimés, B______ SA et C______, prévenus, qui obtiennent gain de cause, puisque le classement de la procédure est confirmé, ont sollicité des dépens sans toutefois les chiffrer et a fortiori les justifier. Compte tenu du travail accompli, une indemnité fixée, ex aequo et bono, à CHF 1'000.- TTC, à la charge de l'État, sera allouée.</w:t>
      </w:r>
    </w:p>
    <w:p>
      <w:r>
        <w:t>8.2. D______, intimé, qui obtient également gain de cause, n'a pas pas conclu à l'octroi de dépens pour lui-même. * * * * *</w:t>
      </w:r>
    </w:p>
    <w:p>
      <w:r>
        <w:t>- 13/14 - P/1681/2020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