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ACPR/303/2020 vom 19. Dezember 2019</w:t>
      </w:r>
    </w:p>
    <w:p>
      <w:r>
        <w:t>GE Cour de justice, 2019-12-19, FR</w:t>
      </w:r>
    </w:p>
    <w:p>
      <w:r>
        <w:rPr>
          <w:b/>
        </w:rPr>
        <w:t xml:space="preserve">Quelle: </w:t>
      </w:r>
      <w:r>
        <w:t>https://mcp.opencaselaw.ch/entscheid/ge_gerichte_ACPR_303_2020</w:t>
      </w:r>
    </w:p>
    <w:p>
      <w:r>
        <w:t>FR: GE_GERICHTE ACPR/303/2020 du 19 décembre 2019</w:t>
      </w:r>
    </w:p>
    <w:p>
      <w:r>
        <w:t>IT: GE_GERICHTE ACPR/303/2020 del 19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2.1</w:t>
      </w:r>
    </w:p>
    <w:p>
      <w:r>
        <w:t>Conformément à l'art. 263 al. 1 CPP, des objets et des valeurs patrimoniales appartenant au prévenu ou à des tiers peuvent être mis sous séquestre lorsqu'il est probable qu'ils seront utilisés comme moyen de preuve (let. a) ou pour garantir le paiement des frais de procédure, peines pécuniaires, amendes et indemnités (let. b), ou qu'il devront être restitués au lésé (let. c) ou encore confisqués (let. d). L'art. 70 al. 1 CP prévoit à cet égard que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- 8/13 - P/19304/2017 Lorsque les valeurs patrimoniales à confisquer ne sont plus disponibles, le juge ordonne leur remplacement par une créance compensatrice de l'État d'un montant équivalent (art. 71 al. 1 CP). L'art. 71 al. 3 CP permet alors à l'autorité d'instruction de placer sous séquestre, en vue de l'exécution de cette créance compensatrice, jusqu'à concurrence du montant présumé du produit de l'infraction, des valeurs patrimoniales appartenant à la personne concernée, y compris des avoirs de provenance licite (L. JACQUEMOUD-ROSSARI, La créance compensatrice : état des lieux de la jurisprudence, in SJ 2019 II 298). Par "personne concernée" au sens de cette disposition, on entend non seulement l'auteur, mais aussi, à certaines conditions, un tiers favorisé, d'une manière ou d'une autre, par l'infraction (cf. art. 71 al. 1 CP renvoyant à l'art. 70 al. 2 CP). La jurisprudence a aussi admis qu'un séquestre ordonné sur la base de l'art. 71 al. 3 CP puisse viser les biens d'une société tierce, dans les cas où il convient de faire abstraction de la distinction entre l'actionnaire – auteur présumé de l'infraction – et la société qu'il détient (théorie dite de la transparence). Il en va de même dans l'hypothèse où le prévenu serait – dans les faits et malgré les apparences – le véritable bénéficiaire des valeurs cédées à un "homme de paille" (ATF 140 IV 57 consid. 4.1.2 p. 64 et les références cités).</w:t>
      </w:r>
    </w:p>
    <w:p>
      <w:r>
        <w:rPr>
          <w:b/>
        </w:rPr>
        <w:t>E. 2.2</w:t>
      </w:r>
    </w:p>
    <w:p>
      <w:r>
        <w:t>Comme toutes les mesures de contrainte, le séquestre ne peut être ordonné que si des soupçons suffisants laissent présumer une infraction (art. 197 al. 1 let. b), que les buts poursuivis ne peuvent pas être atteints par des mesures moins sévères (let. c) et qu'il apparait justifié au regard de la gravité de l'infraction (let. d). La mesure de séquestre est proportionnée lorsqu'elle porte sur des avoirs dont on peut admettre qu'ils pourront être vraisemblablement confisqués en application du droit pénal (art. 70 et 71 CP). L'autorité doit pouvoir statuer rapidement, ce qui exclut qu'elle résolve des questions juridiques complexes ou qu'elle attende d'être renseignée de manière exacte et complète sur les faits avant d'agir. Ainsi, tant que l'étendue de la mesure ne paraît pas manifestement violer le principe de proportionnalité, notamment sous l'angle du respect des conditions minimales d'existence (art. 12 Cst féd./art. 93 LP), le séquestre doit être maintenu; en effet, c'est devant le juge du fond, au moment du prononcé de la créance compensatrice, que la situation personnelle, notamment financière, du prévenu sera prise en considération (cf. art. 71 al. 2 CP), respectivement au moment de l'exécution de la créance compensatrice par l'office des poursuites (ATF 141 IV 360 consid. 3.2 et 3.4 in fine). Tant que l'instruction n'est pas achevée, une simple probabilité de confiscation suffit car, à l'instar de toute mesure provisionnelle, la saisie se rapporte à des prétentions encore incertaines (ATF 140 IV 57 consid. 4.1.2; 116 Ib 96 consid. 3a; arrêt du Tribunal fédéral 1B_390/2013 du 10 janvier 2014 consid. 2.1). Le séquestre ne peut donc être levé (art. 267 CPP) que dans l'hypothèse où il est d'emblée manifeste et</w:t>
      </w:r>
    </w:p>
    <w:p>
      <w:r>
        <w:t>- 9/13 - P/19304/2017 indubitable que les conditions matérielles d'une confiscation, respectivement du prononcé d'une créance compensatrice, ne sont pas réalisées et ne pourront l'être (arrêts du Tribunal fédéral 1B_311/2009 du 17 février 2010 consid. 3 in fine et 1S.8/2006 du 12 décembre 2006 consid. 6.1).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p. 96; arrêt du Tribunal fédéral 1B_416/2012 du 30 octobre 2012 consid. 2.1).</w:t>
      </w:r>
    </w:p>
    <w:p>
      <w:r>
        <w:rPr>
          <w:b/>
        </w:rPr>
        <w:t>E. 2.3</w:t>
      </w:r>
    </w:p>
    <w:p>
      <w:r>
        <w:t>En l'occurrence, le recourant s'oppose à la levée des séquestres ordonnés sur les comptes au nom des époux auprès de [la banque] G______ au motif que le préjudice subi du fait des infractions ne serait pas nécessairement couvert par les autres biens saisis, notamment en raison de l'incertitude régnant quant à savoir si les prévenus pourraient être considérés comme codébiteurs de sa créance en réparation.</w:t>
      </w:r>
    </w:p>
    <w:p>
      <w:r>
        <w:rPr>
          <w:b/>
        </w:rPr>
        <w:t>E. 2.3.1</w:t>
      </w:r>
    </w:p>
    <w:p>
      <w:r>
        <w:t>Le recourant perd de vue que la finalité des art. 70 (confiscation) et 71 (créance compensatrice) CP est d'ôter à l'auteur (ou à un tiers bénéficiaire) toute rentabilité à l'infraction commise, et non de garantir le dommage allégué du lésé, garantie qui ressortit aux seuls droits civil/des poursuites et faillite (L. MOREILLON/Y. NICOLET, La créance compensatrice, in RPS 135 (2017), p. 419 et p. 426 et les références citées). C'est donc la suppression de l'avantage financier résultant de l'activité illicite qui est visée, que l'auteur/le tiers dispose toujours de cet avantage – auquel cas une confiscation est envisageable – ou que l'intéressé n'en dispose plus (parce qu'il l'a aliéné, etc.) – hypothèse qui justifie alors le prononcé d'une mesure de substitution à la confiscation, i.e. la créance compensatrice –- (L. MOREILLON/Y. NICOLET, op.cit., p. 417 et p. 419). Par conséquent, en l'absence d'un enrichissement de l'auteur/du tiers, le séquestre pénal ne peut être ordonné, raison pour laquelle le Tribunal fédéral exclut qu'une créance compensatrice puisse être prononcée solidairement à l'encontre de tous les participants à une infraction, lorsque seuls certains ont reçu un avantage illicite (ATF 119 IV 17 consid. 2.b). La seule quotité du dommage allégué par le recourant – indépendamment de tout lien avec les infractions reprochées à chacun des prévenus – ne saurait dès lors justifier le maintien des séquestres prononcés.</w:t>
      </w:r>
    </w:p>
    <w:p>
      <w:r>
        <w:rPr>
          <w:b/>
        </w:rPr>
        <w:t>E. 2.3.2</w:t>
      </w:r>
    </w:p>
    <w:p>
      <w:r>
        <w:t>L'examen de la plainte déposée par le recourant et de ses déclarations, de même que les faits dont sont prévenus les intimés, ne permettent par ailleurs pas de considérer qu'il existerait un quelconque soupçon de commission, par C______, d'actes d'escroquerie (art. 146 CP) ou de gestion déloyale (art. 158 CP) en lien avec le contrat conclu en 2011. Rien n'indique non plus qu'elle aurait bénéficié, d'une</w:t>
      </w:r>
    </w:p>
    <w:p>
      <w:r>
        <w:t>- 10/13 - P/19304/2017 manière ou d'une autre, du produit éventuel de ces infractions, qui se limite a priori aux honoraires contractuels prévus de CHF 200'000.-. En effet, à l'exception des comptes n° 2______ et n° 3______ ouverts dans les livres de [la banque] G______, tous les biens séquestrés appartenant exclusivement à C______ ont soit été acquis antérieurement à 2011 (en particulier les biens immobiliers) soit sont d'origine manifestement successorale (les comptes auprès de la banque O______ et le compte n° 4______ auprès de G______). Si tant est que les conditions en soient réalisées – ce qui paraît incertain au vu des explications fournies et des pièces produites –, les infractions de diminution effective de l'actif au préjudice des créanciers (art. 164 CP), voire de banqueroute frauduleuse (art. 163 CP), ne pourraient quant à elles donner lieu au prononcé d'une créance compensatrice à l'encontre de l'intimée qu'à concurrence de quelques milliers, voire dizaines de milliers de francs au plus, en lien avec la conclusion des contrats de travail et de bail prétendument fictifs et des sommes perçues à ce titre. Ainsi, au vu de la valeur des biens lui appartenant et encore placés sous séquestre, le maintien d'une telle mesure sur la relation n° 4______ auprès de G______ serait, dans ces conditions, manifestement disproportionné. Sa levée est par conséquent conforme à l'art. 267 al. 1 CPP et sera confirmée.</w:t>
      </w:r>
    </w:p>
    <w:p>
      <w:r>
        <w:rPr>
          <w:b/>
        </w:rPr>
        <w:t>E. 2.3.3</w:t>
      </w:r>
    </w:p>
    <w:p>
      <w:r>
        <w:t>En ce qui concerne B______, force est de constater que l'instruction, qui dure depuis plus de deux ans, si elle n'a pas renforcé les soupçons pesant sur lui, n'a pas non plus permis de lever tout doute quant à la commission de l'une ou l'autre des infractions dénoncées, quand bien même les éléments accréditant l'existence de celles-ci sont ténus. En l'état, la possibilité d'une confiscation, voire du prononcé d'une créance compensatrice, à hauteur des montants dont il aurait pu s'enrichir grâce à celles-ci ne peut donc être exclue. Dans la mesure où l'origine des fonds déposés sur les comptes dont il est cotitulaire avec son épouse est incertaine, et où leur montant est inférieur, notamment à la rémunération prévue par le contrat conclu avec le recourant en 2011, l'on ne peut exclure qu'ils proviennent, en partie du moins d'une infraction. La levée du séquestre les concernant ne se justifie dès lors pas et l'ordonnance querellée sera annulée sur ce point.</w:t>
      </w:r>
    </w:p>
    <w:p>
      <w:r>
        <w:rPr>
          <w:b/>
        </w:rPr>
        <w:t>E. 3</w:t>
      </w:r>
    </w:p>
    <w:p>
      <w:r>
        <w:t>Le recourant n'obtient que très partiellement gain de cause, de sorte qu'il supportera la moitié des frais de la procédure de recours envers l'État, fixés en totalité à</w:t>
      </w:r>
    </w:p>
    <w:p>
      <w:r>
        <w:t>- 11/13 - P/19304/2017 CHF 1'000.- (art. 428 al. 1 CPP et 13 al. 1 du Règlement fixant le tarif des frais en matière pénale, RTFMP ; E 4 10.03), le solde étant laissé à la charge de l'État.</w:t>
      </w:r>
    </w:p>
    <w:p>
      <w:r>
        <w:rPr>
          <w:b/>
        </w:rPr>
        <w:t>E. 4.1</w:t>
      </w:r>
    </w:p>
    <w:p>
      <w:r>
        <w:t>Lorsque ni un acquittement total ou partiel, ni un classement de la procédure ne sont prononcés mais que le prévenu obtient gain de cause sur d'autres points, il a droit à une juste indemnité pour ses dépenses (art. 436 al. 2 CPP). En l'occurrence, l'intimée obtient gain de cause pour l'essentiel, de sorte qu'il se justifie de lui accorder, à la charge de l'État, l'indemnité réclamée pour ses frais de défense, soit CHF 1'800.- (TVA à 7,7% incluse), lesquels apparaissent en adéquation avec le travail accompli. Dans la mesure où le recours est admis concernant les seuls comptes dont l'intimé est titulaire, il y a lieu de considérer que ce dernier succombe. Il ne lui sera dès lors alloué aucune indemnité, qu'il n'a au demeurant pas sollicitée.</w:t>
      </w:r>
    </w:p>
    <w:p>
      <w:r>
        <w:rPr>
          <w:b/>
        </w:rPr>
        <w:t>E. 4.2</w:t>
      </w:r>
    </w:p>
    <w:p>
      <w:r>
        <w:t>Le recourant, partie plaignante représentée par un avocat, n'a quant à lui pas chiffré ni justifié de prétentions en indemnité au sens de l'art. 433 al. 2 CPP, applicable en instance de recours (art. 436 al. 1 CPP), si bien qu'il n'y a pas à lui en allouer (arrêt du Tribunal fédéral 6B_1345/2016 du 30 novembre 2017 consid. 7). * * * * *</w:t>
      </w:r>
    </w:p>
    <w:p>
      <w:r>
        <w:t>- 12/13 - P/19304/2017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