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ACPR/302/2023 vom 5. April 2023</w:t>
      </w:r>
    </w:p>
    <w:p>
      <w:r>
        <w:t>GE Cour de justice, 2023-04-05, FR</w:t>
      </w:r>
    </w:p>
    <w:p>
      <w:r>
        <w:rPr>
          <w:b/>
        </w:rPr>
        <w:t xml:space="preserve">Quelle: </w:t>
      </w:r>
      <w:r>
        <w:t>https://mcp.opencaselaw.ch/entscheid/ge_gerichte_ACPR_302_2023</w:t>
      </w:r>
    </w:p>
    <w:p>
      <w:r>
        <w:t>FR: GE_GERICHTE ACPR/302/2023 du 5 avril 2023</w:t>
      </w:r>
    </w:p>
    <w:p>
      <w:r>
        <w:t>IT: GE_GERICHTE ACPR/302/2023 del 5 aprile 2023</w:t>
      </w:r>
    </w:p>
    <w:p>
      <w:pPr>
        <w:pStyle w:val="Heading2"/>
      </w:pPr>
      <w:r>
        <w:t>Erwägungen</w:t>
      </w:r>
    </w:p>
    <w:p>
      <w:r>
        <w:rPr>
          <w:b/>
        </w:rPr>
        <w:t>E. 1</w:t>
      </w:r>
    </w:p>
    <w:p>
      <w:r>
        <w:t>let. a CPP), a qualité pour agir, ayant un intérêt juridiquement protégé à la modification ou à l'annulation de la décision querellée (art. 382 al. 1 CPP). Il y a lieu de considérer que l'acte de recours a été déposé selon la forme et dans le délai prescrits (art. 385 al. 1 et 396 al. 1 CPP), dès lors que la décision querellée a été communiquée au recourant à une date non établie par le dossier, et que l'on comprend, nonobstant l'absence de conclusions formelles, qu'il demande l'annulation de l'ordonnance querellée. 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bien le comprendre, le recourant souhaite pouvoir choisir son défenseur et, en conséquence, demande la révocation de la nomination de Me D______ en cette qualité.</w:t>
      </w:r>
    </w:p>
    <w:p>
      <w:r>
        <w:rPr>
          <w:b/>
        </w:rPr>
        <w:t>E. 3.1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(cf. arrêt du Tribunal fédéral 1B_387/2012 du 24 janvier 2013 consid. 4.3;</w:t>
      </w:r>
    </w:p>
    <w:p>
      <w:r>
        <w:t>- 4/6 - P/15884/2018 Message du Conseil fédéral du 21 décembre 2005 relatif à l'unification du droit de la procédure, FF 2006 1057, spéc. 1159). L'art. 133 al. 2 CPP ne garantit toutefois pas au détenu le droit de choisir librement son défenseur d'office. Le droit du prévenu de proposer un avocat d'office ne fonde en effet pas d'obligation pour la direction de la procédure de désigner l'avocat proposé (cf. arrêt du Tribunal fédéral 1B_387/2012 du 24 janvier 2013 précité).</w:t>
      </w:r>
    </w:p>
    <w:p>
      <w:r>
        <w:rPr>
          <w:b/>
        </w:rPr>
        <w:t>E. 3.2</w:t>
      </w:r>
    </w:p>
    <w:p>
      <w:r>
        <w:t>En l'espèce, c'est en respect de ces règles que le nouveau défenseur d'office du recourant a été désigné et son précédent conseil relevé de sa mission. Il n'apparaît pas que le recourant ait eu à se plaindre de son nouveau défenseur, puisqu'il n'invoque aucun motif de révocation (art. 134 CP), indiquant seulement ne pas "vouloir d'un avocat choisi ou désigné par le Ministère public". Le recourant cherche, ainsi, à faire désigner en qualité d'avocat d'office un avocat de son choix - qu'il ne désigne même pas -, qu'il n'entend pas rémunérer, alors qu'il n'a pas de griefs à l'encontre de son avocat d'office. Or, contrairement à ce qu'il semble penser, le recourant n'a pas de droit à choisir son avocat, lorsque ce dernier est rémunéré par l'État. Partant, le recours est mal fondé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- 5/6 - P/15884/2018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