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ACPR/302/2020 vom 10. Januar 2020</w:t>
      </w:r>
    </w:p>
    <w:p>
      <w:r>
        <w:t>GE Cour de justice, 2020-01-10, FR</w:t>
      </w:r>
    </w:p>
    <w:p>
      <w:r>
        <w:rPr>
          <w:b/>
        </w:rPr>
        <w:t xml:space="preserve">Quelle: </w:t>
      </w:r>
      <w:r>
        <w:t>https://mcp.opencaselaw.ch/entscheid/ge_gerichte_ACPR_302_2020</w:t>
      </w:r>
    </w:p>
    <w:p>
      <w:r>
        <w:t>FR: GE_GERICHTE ACPR/302/2020 du 10 janvier 2020</w:t>
      </w:r>
    </w:p>
    <w:p>
      <w:r>
        <w:t>IT: GE_GERICHTE ACPR/302/2020 del 10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 2.2.1 ; arrêt du Tribunal fédéral 6B_1153/2016 du 23 janvier 2018 consid. 4.3).</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existe des empêchements de procéder (let. b) ou que les conditions à l’art. 8 CPP imposent de renoncer à l’ouverture d’une poursuite pénale (let. c). Selon la jurisprudence, cette disposition doit être appliquée conformément au principe in dubio pro duriore, tel qu’il découle du principe de la légalité (art. 5 Cst.,</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 6B_127/2013 du 3 septembre 2013 consid. 4 ; ACPR/488/2014 du 31 octobre 2014 consid. 2.1 ; cf. toutefois l’arrêt du Tribunal fédéral 6B_1045/2014 du 19 mai 2015 consid. 4.3, non publié ATF 141 IV 205, qui y voit une condition à l’ouverture de l’action pénale). Aux termes de l’art. 3 al. 1 CP, le Code pénal suisse est applicable à quiconque commet un crime ou un délit en Suisse. En application de l’art. 8 al. 1 CP, un crime où un délit est réputé commis tant au lieu où l’auteur a agi ou aurait dû agir qu’au lieu où le résultat s’est produit. Le lieu où l’auteur a agi ou aurait dû agir est un lieu où il a réalisé l’un des éléments constitutifs de l’infraction. Il suffit qu’il réalise une</w:t>
      </w:r>
    </w:p>
    <w:p>
      <w:r>
        <w:t>- 6/9 - P/25968/2019 partie – voire un seul – des actes constitutifs sur le territoire suisse (ATF 144 IV 265 consid. 2..7. ; 141 IV 205 consid. 5.2). Selon la jurisprudence, la nécessité de prévenir les conflits de compétence négatifs dans les rapports internationaux justifie d’admettre la compétence des autorités pénales suisses, même en l’absence de lien étroit avec la Suisse (ATF 141 IV 205 consid. 5.2 ; 133 IV 171 consid. 6.3 ; arrêt du Tribunal fédéral 6B_659/2014 du 22 décembre 2017 consid. 6.3.1). 2.3.1. L’appauvrissement causé par un abus de confiance (art. 138 CP) ou une escroquerie (art. 146 CP) constitue un résultat au sens de l’art. 8 CP (ATF 124 IV 241). En outre, le versement sur un compte bancaire en Suisse caractérisant l’enrichissement recherché par l’auteur d’une escroquerie représente également un résultat au sens de l’art. 8 CP (ATF 109 IV 1 ; 133 IV 171 consid. 6.3). 2.3.2. En matière de faux matériel ou intellectuel, le lieu de l’acte se définit comme le lieu où l’auteur confectionne un faux, falsifie un titre ou confère un contenu mensonger à un titre. En ce qui concerne l’usage de faux, le lieu de survenance du résultat se définit comme le lieu où le faux parvient dans la sphère d’influence de la personne visée, soit le lieu où le destinataire reçoit le faux et acquiert la faculté d’en prendre connaissance. Est visé ainsi le faux expédié par courrier électronique depuis l’étranger à un destinataire suisse (A. DYENS, Territorialité et ubiquité en droit pénal international suisse, Bâle 2014, p. 315-316).</w:t>
      </w:r>
    </w:p>
    <w:p>
      <w:r>
        <w:rPr>
          <w:b/>
        </w:rPr>
        <w:t>E. 2.4</w:t>
      </w:r>
    </w:p>
    <w:p>
      <w:r>
        <w:t>En l’espèce, il ressort des éléments au dossier que la recourante a son siège à Genève, que la relation d’affaires s’est nouée dans les locaux de celle-ci, que le département chargé des affaires entre le prévenu et la société D______ se situe à son siège et que le montant querellé a été transféré par la recourante sur le compte de ladite société ouvert en ses livres à Genève. Genève est donc le lieu de survenance du résultat des infractions d’abus de confiance et d’escroquerie (appauvrissement, enrichissement). En outre, il apparaît que l’ensemble des communications échangées entre les parties, a été adressé à et reçu par la recourante à Genève. C’est donc également dans ce lieu que serait survenue la tromperie et l’usage de faux. En effet, selon les éléments au dossier, ce n’est qu’après avoir reçu les connaissements originaux endossés en son nom concernant la « seconde » cargaison, qui semble n'avoir jamais existé, que la recourante a procédé au transfert du financement et libéré les gages qu’elle avait sur la précédente. Ainsi, la compétence des autorités suisses, en particulier genevoises, est acquise pour l’ensemble des infractions. Le fait que le prévenu et la société D______ se trouvent à l’étranger ou que la recourante, en l’absence de réponse de ceux-ci, se soit adressée à des sociétés intermédiaires basées à l’étranger, pour se renseigner sur la cargaison litigieuse ne sont pas susceptibles de modifier cette compétence.</w:t>
      </w:r>
    </w:p>
    <w:p>
      <w:r>
        <w:t>- 7/9 - P/25968/2019 Partant, les autorités judiciaires pénales suisses, respectivement genevoises, sont manifestement compétentes pour poursuivre les infractions dénoncées par la recourante. Un rattachement "tenu" – pour reprendre les termes de la décision querellée – ne saurait fonder un empêchement de procéder. Ce grief sera admis.</w:t>
      </w:r>
    </w:p>
    <w:p>
      <w:r>
        <w:rPr>
          <w:b/>
        </w:rPr>
        <w:t>E. 3.1</w:t>
      </w:r>
    </w:p>
    <w:p>
      <w:r>
        <w:t>Une décision de non-entrée en matière peut aussi être prononcée lorsqu’aucun acte d’enquête raisonnable ne paraît pouvoir amener des éléments utiles à la procédure, tel est le cas lorsque les actes d’enquête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(A. KUHN / Y. JEANNERET (éds), Commentaire romand : Code de procédure pénale suisse, Bâle 2011, n. 9 ad art. 310).</w:t>
      </w:r>
    </w:p>
    <w:p>
      <w:r>
        <w:rPr>
          <w:b/>
        </w:rPr>
        <w:t>E. 3.2</w:t>
      </w:r>
    </w:p>
    <w:p>
      <w:r>
        <w:t>En l’occurrence, le Ministère public a estimé que les actes d’instruction pertinents devraient se faire par le biais de commissions rogatoires adressées aux Emirats Arabes Unis et que ces démarches apparaissaient disproportionnées compte tenu des délais de traitement relativement longs et des chances de succès très faibles (cf. https://www.rhf.admin.ch/rhf/fr/home/rechtshilfefuehrer/laenderindex.html). Si l’on ne saurait minimiser la difficulté à obtenir l’entraide des autorités émiraties, telle qu’avancée par le Ministère public, force est toutefois de constater que cette difficulté matérielle liée à l’instruction, ne peut, à ce stade, conduire à une non-entrée en matière. Pour le surplus, le Ministère public ne saurait réduire les investigations possibles au seul envoi de commissions rogatoires. En effet, à teneur des éléments au dossier, l’on a vu que l'on ne peut d’emblée exclure qu’il n’existe pas une prévention pénale suffisante à l’égard du prévenu, en tout cas le Ministère public ne le prétend pas. Le Procureur devra donc ouvrir une instruction et mener les actes d’enquête qu’il estimera proportionnés pour, à tout le moins, établir les faits et entendre le prévenu.</w:t>
      </w:r>
    </w:p>
    <w:p>
      <w:r>
        <w:rPr>
          <w:b/>
        </w:rPr>
        <w:t>E. 4</w:t>
      </w:r>
    </w:p>
    <w:p>
      <w:r>
        <w:t>Vu l’issue du litige, les autres griefs invoqués par la recourante sont sans objet.</w:t>
      </w:r>
    </w:p>
    <w:p>
      <w:r>
        <w:rPr>
          <w:b/>
        </w:rPr>
        <w:t>E. 5</w:t>
      </w:r>
    </w:p>
    <w:p>
      <w:r>
        <w:t>Fondé, le recours sera donc admis ; partant, l’ordonnance querellée sera annulée et la cause retournée au Ministère public pour qu’il ouvre une instruction.</w:t>
      </w:r>
    </w:p>
    <w:p>
      <w:r>
        <w:rPr>
          <w:b/>
        </w:rPr>
        <w:t>E. 6</w:t>
      </w:r>
    </w:p>
    <w:p>
      <w:r>
        <w:t>L’admission du recours ne donne pas lieu à la perception de frais (art. 428 al. 1 CPP).</w:t>
      </w:r>
    </w:p>
    <w:p>
      <w:r>
        <w:rPr>
          <w:b/>
        </w:rPr>
        <w:t>E. 7.1</w:t>
      </w:r>
    </w:p>
    <w:p>
      <w:r>
        <w:t>La recourante, partie plaignante, qui obtient gain de cause, a demandé une équitable indemnité de procédure.</w:t>
      </w:r>
    </w:p>
    <w:p>
      <w:r>
        <w:t>- 8/9 - P/25968/2019</w:t>
      </w:r>
    </w:p>
    <w:p>
      <w:r>
        <w:rPr>
          <w:b/>
        </w:rPr>
        <w:t>E. 7.2</w:t>
      </w:r>
    </w:p>
    <w:p>
      <w:r>
        <w:t>À teneur de l'art. 433 al. 2 CPP, la partie plaignante doit chiffrer et justifier ses prétentions;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7.3</w:t>
      </w:r>
    </w:p>
    <w:p>
      <w:r>
        <w:t>En l'occurrence, la recourante, assistée d'un avocat, a conclu au versement d'une équitable indemnité mais n'a ni chiffré ni, a fortiori, documenté sa prétention. Il n'y sera donc pas fait droit. * * * * *</w:t>
      </w:r>
    </w:p>
    <w:p>
      <w:r>
        <w:t>- 9/9 - P/25968/2019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