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ACPR/300/2023 vom 4. November 2022</w:t>
      </w:r>
    </w:p>
    <w:p>
      <w:r>
        <w:t>GE Cour de justice, 2022-11-04, FR</w:t>
      </w:r>
    </w:p>
    <w:p>
      <w:r>
        <w:rPr>
          <w:b/>
        </w:rPr>
        <w:t xml:space="preserve">Quelle: </w:t>
      </w:r>
      <w:r>
        <w:t>https://mcp.opencaselaw.ch/entscheid/ge_gerichte_ACPR_300_2023</w:t>
      </w:r>
    </w:p>
    <w:p>
      <w:r>
        <w:t>FR: GE_GERICHTE ACPR/300/2023 du 4 novembre 2022</w:t>
      </w:r>
    </w:p>
    <w:p>
      <w:r>
        <w:t>IT: GE_GERICHTE ACPR/300/2023 del 4 novembre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rendu une ordonnance de non- entrée en matière plutôt que de classement.</w:t>
      </w:r>
    </w:p>
    <w:p>
      <w:r>
        <w:rPr>
          <w:b/>
        </w:rPr>
        <w:t>E. 2.1</w:t>
      </w:r>
    </w:p>
    <w:p>
      <w:r>
        <w:t>Le ministère public n'a pas à informer les parties avant de rendre une ordonnance de non-entrée en matière et n'a pas à leur donner la possibilité d'exercer leur droit 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w:t>
      </w:r>
    </w:p>
    <w:p>
      <w:r>
        <w:rPr>
          <w:b/>
        </w:rPr>
        <w:t>E. 2.2</w:t>
      </w:r>
    </w:p>
    <w:p>
      <w:r>
        <w:t>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w:t>
      </w:r>
    </w:p>
    <w:p>
      <w:r>
        <w:t>- 7/11 - P/13190/2015 ministère public sans condamnation, ni instruction: l'ordonnance de non-entrée en matière, in RPS 133 (2015) p. 195). Si le prononcé de mesures de contrainte interdit celui d'une ordonnance de non-entrée en matière (art. 309 al. 1 let. b CPP), le procureur peut, en revanche, sans ouvrir d'instruction, procéder à de premières investigations, par exemple demander à la police de compléter un rapport ou une dénonciation qui n'établit pas clairement les soupçons retenus (art. 309 al. 2 CPP; Y. JEANNERET / A. KUHN / C. PERRIER DEPEURSINGE (éds), Commentaire romand : Code de procédure pénale suisse, 2ème éd., Bâle 2019, n. 22 ad art. 309). Dans ce cas, l'avis préliminaire, demandé à la police antérieurement à l'ouverture de l'instruction, n'empêche pas le prononcé d'une ordonnance de non-entrée en matière (arrêt du Tribunal fédéral 1B_262/2012 du 4 juin 2013 consid. 2.2).</w:t>
      </w:r>
    </w:p>
    <w:p>
      <w:r>
        <w:rPr>
          <w:b/>
        </w:rPr>
        <w:t>E. 2.3</w:t>
      </w:r>
    </w:p>
    <w:p>
      <w:r>
        <w:t>En l'espèce, le mis en cause n'était pas mentionné dans la plainte de la recourante et sa seule audition a été effectuée en qualité de témoin. Quant à l'arrêt de la Chambre de céans du 30 novembre 2018, il n'a fait que suggérer au Ministère public d'examiner si un comportement pénalement répréhensible pouvait être retenu contre lui. Il n'a enfin jamais fait l'objet d'une mesure de contrainte. À la lumière de ces éléments, il n'y a aucune raison de supposer qu'une instruction était ouverte contre le mis en cause avant que la recourante ne le dénonce pour la première fois – au détour de déterminations afférentes au père de ce dernier – pour des comportements n'ayant fait l'objet d'aucune incrimination jusqu'alors. Partant, le Ministère public était en droit de rendre une ordonnance de non-entrée en matière en faveur du mis en cause, ce qui ne nécessitait pas d'entendre préalablement la recourante, ni de donner suite à des actes d'enquête complémentaires. Le grief peut, par conséquent, être rejeté.</w:t>
      </w:r>
    </w:p>
    <w:p>
      <w:r>
        <w:rPr>
          <w:b/>
        </w:rPr>
        <w:t>E. 3</w:t>
      </w:r>
    </w:p>
    <w:p>
      <w:r>
        <w:t>La recourante allègue une violation de son droit d'être entendu.</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p. 102).</w:t>
      </w:r>
    </w:p>
    <w:p>
      <w:r>
        <w:rPr>
          <w:b/>
        </w:rPr>
        <w:t>E. 3.2</w:t>
      </w:r>
    </w:p>
    <w:p>
      <w:r>
        <w:t>En l'espèce, le Ministère public a retenu dans l'ordonnance querellée que le mis en cause n'avait aucune implication dans la gestion de la société.</w:t>
      </w:r>
    </w:p>
    <w:p>
      <w:r>
        <w:t>- 8/11 - P/13190/2015 Les faits nouvellement dénoncés supposent une activité opérationnelle effective de l'intéressé. Dès lors, la recourante pouvait comprendre de la motivation précitée que le Ministère public considérait les éléments constitutifs des infractions concernées comme n'étant pas réalisés s'agissant de lui. Le caractère succinct de cette motivation – qui reflète d'ailleurs les développements lacunaires de la recourante pour fonder ses accusations – ne saurait renverser ce constat. La recourante était ainsi en position de critiquer l'ordonnance querellée, ce qu'elle a fait au demeurant. Il s'ensuit que ce grief peut également être rejeté.</w:t>
      </w:r>
    </w:p>
    <w:p>
      <w:r>
        <w:rPr>
          <w:b/>
        </w:rPr>
        <w:t>E. 4</w:t>
      </w:r>
    </w:p>
    <w:p>
      <w:r>
        <w:t>Enfin, la recourante critique le bien-fondé de l'ordonnance querellée.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4.2.1. 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4.2.2. Commet un faux dans les titres au sens de l’art. 251 CP – infraction qui constitue un crime – celui qui, dans le dessein, soit de porter atteinte aux intérêts pécuniaires ou aux droits d'autrui, soit de se procurer ou de procurer à un tiers un avantage illicite, aura constaté ou fait constater faussement, dans un titre, un fait ayant une portée juridique. 4.2.3.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w:t>
      </w:r>
    </w:p>
    <w:p>
      <w:r>
        <w:t>- 9/11 - P/13190/2015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4.3</w:t>
      </w:r>
    </w:p>
    <w:p>
      <w:r>
        <w:t>En l'espèce, des agissements dénoncés par la recourante, aucun ne peut être reproché directement et personnellement au mis en cause. Au cours de la procédure, les parties n'ont jamais contesté que, malgré son rôle d'administrateur avec signature collective à deux, l'intéressé n'a jamais exercé une activité opérationnelle pour la société, ni qu'il n'avait eu un quelconque pouvoir décisionnel. Comme constaté dans le précédent arrêt de la Chambre de céans, la gestion effective était opérée depuis Riga, en Lettonie, par les autres administrateurs et actionnaires, qui font maintenant l'objet d'une procédure distincte. Le dossier n'offre ainsi aucune assise permettant d'imputer au mis en cause une responsabilité liée aux prêts octroyés ou à la teneur de la comptabilité. S'il conservait, certes, des devoirs en sa qualité d'organe, cela ne fonde pas encore une prévention pénale à son encontre. En tout état, des explications du mis en cause, il ressort qu'il n'avait qu'un aperçu même approximatif des opérations effectuées par la société. Ses connaissances étant ainsi limitées, on ne saurait lui prêter d'intention délictuelle; par ailleurs, les infractions dénoncées par la recourante ne répriment pas la négligence. À titre superfétatoire, une nouvelle expertise apparaît d'emblée vaine, dès lors que les démarches visant à obtenir une image complète de la comptabilité se sont révélées infructueuses. Il n'y a donc pas de raisons de croire que les conclusions d'un nouvel expert différeraient substantiellement de celles au dossier.</w:t>
      </w:r>
    </w:p>
    <w:p>
      <w:r>
        <w:rPr>
          <w:b/>
        </w:rPr>
        <w:t>E. 5</w:t>
      </w:r>
    </w:p>
    <w:p>
      <w:r>
        <w:t>Justifiée, l'ordonnance querellée sera donc confirmée.</w:t>
      </w:r>
    </w:p>
    <w:p>
      <w:r>
        <w:rPr>
          <w:b/>
        </w:rPr>
        <w:t>E. 6</w:t>
      </w:r>
    </w:p>
    <w:p>
      <w:r>
        <w:t>La recourante, qui succombe, supportera les frais envers l'État, fixés en intégralité à CHF 1'000.- (art. 428 al. 1 CPP et 13 al. 1 du Règlement fixant le tarif des frais en matière pénale, RTFMP ; E 4 10.03). * * * * *</w:t>
      </w:r>
    </w:p>
    <w:p>
      <w:r>
        <w:t>- 10/11 - P/13190/2015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