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ACPR/300/2022 vom 20. Dezember 2021</w:t>
      </w:r>
    </w:p>
    <w:p>
      <w:r>
        <w:t>GE Cour de justice, 2021-12-20, FR</w:t>
      </w:r>
    </w:p>
    <w:p>
      <w:r>
        <w:rPr>
          <w:b/>
        </w:rPr>
        <w:t xml:space="preserve">Quelle: </w:t>
      </w:r>
      <w:r>
        <w:t>https://mcp.opencaselaw.ch/entscheid/ge_gerichte_ACPR_300_2022</w:t>
      </w:r>
    </w:p>
    <w:p>
      <w:r>
        <w:t>FR: GE_GERICHTE ACPR/300/2022 du 20 décembre 2021</w:t>
      </w:r>
    </w:p>
    <w:p>
      <w:r>
        <w:t>IT: GE_GERICHTE ACPR/300/2022 del 20 dicembre 2021</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29 al. 1 let. a CPP, les infractions sont poursuivies et jugées conjointement lorsqu'un prévenu a commis plusieurs infractions. Ce principe, dit de l'unité, tend à éviter les jugements contradictoires et sert l'économie de la procédure (arrêt du Tribunal fédéral 1B_428/2018 du 7 novembre 2018 consid. 3.2). De façon générale, l'article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CPP, Code de procédure pénale, 2ème éd., Bâle 2016, n. 3 ad art. 29).</w:t>
      </w:r>
    </w:p>
    <w:p>
      <w:r>
        <w:t>- 4/6 - P/13618/2021</w:t>
      </w:r>
    </w:p>
    <w:p>
      <w:r>
        <w:rPr>
          <w:b/>
        </w:rPr>
        <w:t>E. 2.2</w:t>
      </w:r>
    </w:p>
    <w:p>
      <w:r>
        <w:t>Selon l'art. 30 CPP, si des raisons objectives le justifient, le ministère public et les tribunaux peuvent ordonner la jonction ou la disjonction de procédures pénales. La faculté offerte par cette norme d'ordonner la jonction de plusieurs procédures s'entend en quelque sorte comme une extension du principe d'unité à d'autres situations que celles qui sont visées à l'art. 29 CPP (Y. JEANNERET / A. KUHN / C. PERRIER DEPEURSINGE (éds), Commentaire romand : Code de procédure pénale suisse, 2ème éd., Bâle 2019, n. 3 ad art. 30).</w:t>
      </w:r>
    </w:p>
    <w:p>
      <w:r>
        <w:rPr>
          <w:b/>
        </w:rPr>
        <w:t>E. 2.3</w:t>
      </w:r>
    </w:p>
    <w:p>
      <w:r>
        <w:t>En l'espèce, le recourant est prévenu, dans deux procédures distinctes, de la commission de plusieurs infractions. Conformément au principe de l'unité de la procédure, ces faits – et les infractions qui y sont associées – doivent donc en principe être poursuivis conjointement afin qu'un seul juge se prononce, le cas échéant, sur l'ensemble. Si la connexité entre les infractions reprochées à un prévenu appelle évidemment une jonction des causes, l'absence de connexité ne constitue pas un motif pour déroger au principe de l'unité de procédure de l'art. 29 CPP, qui veut que l'ensemble des infractions reprochées à un prévenu soit poursuivi et jugé en même temps, sous peine de quoi cette disposition n'aurait quasiment aucune portée. Peu importe dès lors que la nature des infractions reprochées au prévenu soit différente. L'art. 29 CPP apparaît pleinement applicable dans le cas présent, sans besoin de faire application de l'exception prévue à l'art. 30 CPP. En outre, aucune raison objective ne milite pour que les procédures soient poursuivies séparément, d'autant plus qu'elles sont toutes deux à un stade équivalent de l'instruction. Ainsi, même sous l'angle de la célérité, la jonction n'apparaît pas critiquable. Enfin, le recourant est libre de choisir le ou les avocats chargés de sa défense, avec les conséquences qu'un tel choix entraîneraient. Cet argument n'étant à l'évidence pas pertinent pour décider d'une jonction de causes. Partant, l'ordonnance de jonction litigieuse apparaît justifiée, sous l'angle de l'unité de la procédure prévue à l'art. 29 al. 1 CPP.</w:t>
      </w:r>
    </w:p>
    <w:p>
      <w:r>
        <w:rPr>
          <w:b/>
        </w:rPr>
        <w:t>E. 3</w:t>
      </w:r>
    </w:p>
    <w:p>
      <w:r>
        <w:t>L'ordonnance querellée sera donc confirmée et le recours rejeté.</w:t>
      </w:r>
    </w:p>
    <w:p>
      <w:r>
        <w:rPr>
          <w:b/>
        </w:rPr>
        <w:t>E. 4</w:t>
      </w:r>
    </w:p>
    <w:p>
      <w:r>
        <w:t>Le recourant, qui succombe, supportera les frais envers l'État, qui seront fixés en totalité à CHF 900.- (art. 428 al. 1 CPP et 13 al. 1 du Règlement fixant le tarif des frais en matière pénale, RTFMP; E 4 10.03). * * * * *</w:t>
      </w:r>
    </w:p>
    <w:p>
      <w:r>
        <w:t>- 5/6 - P/13618/2021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