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ACPR/2/2025 vom 6. November 2024</w:t>
      </w:r>
    </w:p>
    <w:p>
      <w:r>
        <w:t>GE Cour de justice, 2024-11-06, FR</w:t>
      </w:r>
    </w:p>
    <w:p>
      <w:r>
        <w:rPr>
          <w:b/>
        </w:rPr>
        <w:t xml:space="preserve">Quelle: </w:t>
      </w:r>
      <w:r>
        <w:t>https://mcp.opencaselaw.ch/entscheid/ge_gerichte_ACPR_2_2025</w:t>
      </w:r>
    </w:p>
    <w:p>
      <w:r>
        <w:t>FR: GE_GERICHTE ACPR/2/2025 du 6 novembre 2024</w:t>
      </w:r>
    </w:p>
    <w:p>
      <w:r>
        <w:t>IT: GE_GERICHTE ACPR/2/2025 del 6 novembre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w:t>
      </w:r>
    </w:p>
    <w:p>
      <w:r>
        <w:t>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précité; ATF 143 IV 241 consid. 2.2.1; ATF 138 IV 86 consid. 4.1).</w:t>
      </w:r>
    </w:p>
    <w:p>
      <w:r>
        <w:rPr>
          <w:b/>
        </w:rPr>
        <w:t>E. 3.2</w:t>
      </w:r>
    </w:p>
    <w:p>
      <w:r>
        <w:t>L'art. 157 CP poursuit, du chef d'usure, quiconque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w:t>
      </w:r>
    </w:p>
    <w:p>
      <w:r>
        <w:rPr>
          <w:b/>
        </w:rPr>
        <w:t>E. 3.2.1</w:t>
      </w:r>
    </w:p>
    <w:p>
      <w:r>
        <w:t>S'agissant de l'inexpérience, il doit s'agir d'une inexpérience générale se rapportant au monde des affaires et non pas d'une inexpérience relative au contrat en cause (ATF 130 IV 106 consid. 7.3). L'inexpérience a été retenue dans le cas d'une</w:t>
      </w:r>
    </w:p>
    <w:p>
      <w:r>
        <w:t>- 5/9 - P/22132/2024 victime âgée de 22 ans au moment de venir en Suisse, qui n'avait jamais quitté son pays d'origine, et n'était pas en mesure de réaliser que son travail méritait salaire pour avoir auparavant travaillé pour un membre de sa famille sans être rémunérée (ATF 130 IV 106 consid. 7.3 p. 109). La situation de cette jeune femme – employée comme aide-ménagère dont le contrat stipulait un salaire de plus de CHF 1'500.-, nourriture et logement en sus, pour 50 heures de travail hebdomadaire, mais qui n'avait été payée que CHF 300.- – était usuraire (ATF 130 IV 106 consid. 7.4. p. 110).</w:t>
      </w:r>
    </w:p>
    <w:p>
      <w:r>
        <w:rPr>
          <w:b/>
        </w:rPr>
        <w:t>E. 3.2.2</w:t>
      </w:r>
    </w:p>
    <w:p>
      <w:r>
        <w:t>La faiblesse de jugement vise une personne qui, en raison de son âge, d'une maladie, d'une faiblesse congénitale, de l'ivresse, de la toxicomanie ou d'une autre cause semblable est diminuée dans sa faculté d'analyser la situation, d'apprécier la portée de ce qu'elle fait, de former sa volonté et de s'y tenir. Il n'est pas nécessaire que la faiblesse de la capacité de jugement de la victime soit générale et durable (M. DUPUIS / L. MOREILLON / C. PIGUET / S. BERGER / M. MAZOU / V. RODIGARI [éds], Code pénal - Petit commentaire, 2e éd., Bâle 2017, n. 14 ad art. 157 CP; MACALUSO / MOREILLON / QUELOZ [éds], Commentaire romand, Code pénal II, art. 111-392 CP, Bâle 2017, n. 24 ad art. 157 CP)</w:t>
      </w:r>
    </w:p>
    <w:p>
      <w:r>
        <w:rPr>
          <w:b/>
        </w:rPr>
        <w:t>E. 3.2.3</w:t>
      </w:r>
    </w:p>
    <w:p>
      <w:r>
        <w:t>L'auteur doit ensuite exploiter la situation de faiblesse dans laquelle se trouve la victime, soit qu'il ait utilisé consciemment cette situation, en vue de l'obtention d'un avantage pécuniaire (arrêt du Tribunal fédéral 6B_395/2007 du 14 novembre 2007 consid. 4.1). Cet avantage patrimonial doit en outre avoir été fourni ou promis en échange d'une prestation. L'usure ne peut ainsi intervenir que dans le cadre d'un contrat onéreux (ATF 142 IV 341 consid. 2 ; 130 IV 106 consid. 7.2).</w:t>
      </w:r>
    </w:p>
    <w:p>
      <w:r>
        <w:rPr>
          <w:b/>
        </w:rPr>
        <w:t>E. 3.3</w:t>
      </w:r>
    </w:p>
    <w:p>
      <w:r>
        <w:t>Selon l'art. 146 al. 1 CP,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 142 IV 153 consid. 2.2.2 ; 135 IV 76 consid. 5.2). Le juge pénal n'a pas à accorder sa protection à celui qui est tombé dans un piège qu'un peu d'attention et de réflexion lui aurait permis d'éviter. L'astuce n'est ainsi pas réalisée si la dupe pouvait se protéger avec un minimum d'attention ou éviter l'erreur avec le</w:t>
      </w:r>
    </w:p>
    <w:p>
      <w:r>
        <w:t>- 6/9 - P/22132/2024 minimum de prudence que l'on pouvait attendre d'elle. Il faut prendre en considération les circonstances et la situation particulière de la dupe, telle que l'auteur la connaît et l'exploite, par exemple une faiblesse d'esprit, l'inexpérience, le grand âge ou la maladie, mais aussi un état de dépendance, d'infériorité ou de détresse faisant que la dupe n'est guère en mesure de se méfier de l'auteur. L'exploitation de semblables situations constitue précisément l'une des caractéristiques de l'astuce. L'hypothèse dans laquelle aucune vérification ne peut être attendue de la dupe vise également les opérations courantes, de faible valeur, pour lesquelles un contrôle entraînerait des frais ou une perte de temps disproportionnés ou ne peut être exigée pour des raisons commerciales. Pour songer à opérer une vérification aussi aisée soit-elle (par exemple : un appel téléphonique), la dupe doit également déjà avoir une raison particulière de se méfier (ATF 143 IV 302 consid. 1.4 ; ATF 142 IV 153 consid. 2.2.2 ; 135 IV 76 consid. 5.2 ; arrêt du Tribunal fédéral 6B_1180/2020 du 10 juin 2021 consid. 2.2).</w:t>
      </w:r>
    </w:p>
    <w:p>
      <w:r>
        <w:rPr>
          <w:b/>
        </w:rPr>
        <w:t>E. 3.4</w:t>
      </w:r>
    </w:p>
    <w:p>
      <w:r>
        <w:t>En l'espèce, la recourante fait grief à l'autorité précédente de n'avoir pas suffisamment instruit les faits qu'elle a dénoncés dans sa plainte pénale, en particulier sa situation d'inexpérience comparativement à celle du mis en cause. Elle ne dit toutefois mot sur sa situation personnelle, au-delà du fait qu'elle était âgée de 25 ans au moment de l'acquisition d'une maison pour près de CHF 4'000'000.-. Elle n'étaye pas les circonstances dans lesquelles elle a pu acquérir la maison litigieuse, en juin 2019, se bornant à indiquer que ses parents lui avaient fait une avance sur héritage. Si elle connaissait le mis en cause dans le cadre du monde équestre que tous deux fréquentent selon ses dires, et qu'elle lui aurait fait confiance lorsqu'il avait justifié le prix de la maison par une expertise privée, il est constant qu'elle n'a de son côté pas fait effectuer une propre expertise avant l'achat d'un bien immobilier d'une telle valeur. Elle ne s'est pas plus renseignée sur les compétences et l'indépendance de l'architecte ayant procédé à cette expertise. Ce n'est que cinq ans après l'acquisition de sa maison, en juin 2024, alors qu'elle a pu penser que le mis en cause avait vendu le cheval qu'ils étaient censés détenir en copropriété, qu'elle dit avoir commencé à avoir des doutes sur l'intégrité de l'intéressé. De tels doutes auraient au demeurant pu s'insinuer dans son esprit lorsque le mis en cause a accepté de baisser de CHF 30'000.- le prix d'acquisition de la maison à la condition qu'elle acquière avec lui un cheval en copropriété, pour le prix maximum de CHF 50'000.-, alors que l'on ne discerne pas l'intérêt qu'elle y aurait trouvé, puisque ce cheval devait être monté exclusivement par la fille de celui-là. Le rabais consenti était par ailleurs anéanti par l'investissement supérieur qu'elle devait engager, ce qui devait lui apparaître comme clairement inhabituel et suspicieux. La recourante semble alléguer que son inexpérience, par rapport à la "position" du mis en cause, l'a précisément empêchée de procéder aux vérifications susmentionnées et placée en situation de vulnérabilité, que le précité aurait exploitée. L'âge de la recourante au moment de l'acquisition litigieuse ne suffit toutefois pas à remplir la condition de l'inexpérience, au sens de l'art. 157 CP, au vu des principes susrappelés. La différence d'âge avec le mis en cause ne suffit pas non plus.</w:t>
      </w:r>
    </w:p>
    <w:p>
      <w:r>
        <w:t>- 7/9 - P/22132/2024 Enfin, la recourante ne soutient pas que ses parents n'auraient pas été présents à ses côtés pour l'orienter après lui avoir consenti une avance sur héritage, ni qu'elle n'aurait pas disposé d'une formation à même de lui permettre de comprendre les tenants et aboutissants de l'achat d'une propriété immobilière à Genève de plusieurs millions de francs. La jurisprudence (ATF 130 IV 106 précité) à laquelle elle se réfère pour se prévaloir de son inexpérience en raison de son jeune âge est sans comparaison possible avec sa propre situation. Dans ces circonstances, c'est à juste titre que le Ministère public, sur la base de la seule plainte, a considéré qu'il n'existait pas de soupçons suffisants d'une infraction d'usure. Quant à une infraction d'escroquerie, la condition de l'astuce n'apparait pas réalisée, et la recourante ne le soutient pas, dans la mesure où elle pouvait se protéger avec le minimum de prudence que l'on pouvait attendre d'elle avant de consentir l'achat d'un bien immobilier pour le prix de CHF 3'800'000.- vu les circonstances qui viennent d'être rappelées. C'est ainsi à juste titre que le Ministre public a considéré que le litige était de nature civile et a rendu l'ordonnance de non-entrée en matière querellée.</w:t>
      </w:r>
    </w:p>
    <w:p>
      <w:r>
        <w:rPr>
          <w:b/>
        </w:rPr>
        <w:t>E. 4</w:t>
      </w:r>
    </w:p>
    <w:p>
      <w:r>
        <w:t>Infondé, le recours sera rejeté.</w:t>
      </w:r>
    </w:p>
    <w:p>
      <w:r>
        <w:rPr>
          <w:b/>
        </w:rPr>
        <w:t>E. 5</w:t>
      </w:r>
    </w:p>
    <w:p>
      <w:r>
        <w:t>La recourante, qui succombe, supportera les frais envers l'État, fixés en totalité à CHF 1'000.- (art. 428 al. 1 CPP et 13 al. 1 du Règlement fixant le tarif des frais en matière pénale, RTFMP ; E 4 10.03).</w:t>
      </w:r>
    </w:p>
    <w:p>
      <w:r>
        <w:t>* * * * *</w:t>
      </w:r>
    </w:p>
    <w:p>
      <w:r>
        <w:t>- 8/9 - P/22132/2024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