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ACPR/2/2024 vom 28. November 2023</w:t>
      </w:r>
    </w:p>
    <w:p>
      <w:r>
        <w:t>GE Cour de justice, 2023-11-28, FR</w:t>
      </w:r>
    </w:p>
    <w:p>
      <w:r>
        <w:rPr>
          <w:b/>
        </w:rPr>
        <w:t xml:space="preserve">Quelle: </w:t>
      </w:r>
      <w:r>
        <w:t>https://mcp.opencaselaw.ch/entscheid/ge_gerichte_ACPR_2_2024</w:t>
      </w:r>
    </w:p>
    <w:p>
      <w:r>
        <w:t>FR: GE_GERICHTE ACPR/2/2024 du 28 novembre 2023</w:t>
      </w:r>
    </w:p>
    <w:p>
      <w:r>
        <w:t>IT: GE_GERICHTE ACPR/2/2024 del 28 novembre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Dès lors que la Chambre de céans jouit d'un plein pouvoir de cognition en droit, en fait et en opportunité (art. 393 al. 2 CPP) (ATF 137 I 195 consid. 2.3.2 p. 197; arrêt du Tribunal fédéral 1B_524/2012 du 15 novembre 2012 consid. 2.1), les éventuelles</w:t>
      </w:r>
    </w:p>
    <w:p>
      <w:r>
        <w:t>- 4/8 - P/18078/2023 constatations incomplètes ou inexactes du Tribunal de police auront été corrigées dans l'état de fait établi ci-dessus.</w:t>
      </w:r>
    </w:p>
    <w:p>
      <w:r>
        <w:rPr>
          <w:b/>
        </w:rPr>
        <w:t>E. 4</w:t>
      </w:r>
    </w:p>
    <w:p>
      <w:r>
        <w:t>Le recourant reproche au Tribunal de police une violation de son droit d'être entendu.</w:t>
      </w:r>
    </w:p>
    <w:p>
      <w:r>
        <w:rPr>
          <w:b/>
        </w:rPr>
        <w:t>E. 4.1</w:t>
      </w:r>
    </w:p>
    <w:p>
      <w:r>
        <w:t>Le droit d'être entendu, consacré par l'art. 29 al. 2 Cst féd., impose à l'autorité de motiver sa décision, afin que les parties puissent les comprendre et apprécier l'opportunité de les attaquer, et que les autorités de recours soient en mesure d'exercer leur contrôle (ATF 136 I 229 consid. 5.3 ; 126 I 97 consid. 2b). L'autorité peut se limiter à ne discuter que les moyens pertinents, sans être tenue de répondre à tous les arguments qui lui sont présentés (ATF 139 IV 179 consid. 2.2 ; arrêt du Tribunal fédéral 6B_146/2016 du 22 août 2016 consid. 1.1). Il suffit que l'autorité mentionne, au moins brièvement, les motifs qui l'ont guidé et sur lesquels il a fondé sa décision. Dès lors qu'on peut discerner ces motifs, le droit d'être entendu est respecté (arrêt du Tribunal fédéral 6B_226/2019 du 29 mars 2019 consid. 2.1).</w:t>
      </w:r>
    </w:p>
    <w:p>
      <w:r>
        <w:rPr>
          <w:b/>
        </w:rPr>
        <w:t>E. 4.2</w:t>
      </w:r>
    </w:p>
    <w:p>
      <w:r>
        <w:t>En l'espèce, le Tribunal de police a considéré que l'ordonnance pénale du 18 août 2023 avait été dûment traduite en langue arabe au recourant et, partant, valablement notifiée à l'intéressé. Il ne s'est pas prononcé sur les arguments soulevés par ce dernier dans sa détermination du 22 novembre 2023, à savoir qu'il ignorait qu'il pouvait former opposition à ladite ordonnance, les voies de droit ne lui ayant pas été traduites. La motivation de l'ordonnance apparaît ainsi lacunaire. Ce nonobstant, le recourant a parfaitement compris la décision attaquée et a pu faire valoir devant la Chambre de céans – qui dispose d'un plein pouvoir de cognition en fait et en droit (art. 391 al. 1 et 393 al. 2 CPP) – les arguments et faits qu'il considérait déterminants. La violation de son droit d'être entendu a ainsi été réparée. Le grief sera donc rejeté.</w:t>
      </w:r>
    </w:p>
    <w:p>
      <w:r>
        <w:rPr>
          <w:b/>
        </w:rPr>
        <w:t>E. 5.1</w:t>
      </w:r>
    </w:p>
    <w:p>
      <w:r>
        <w:t>Selon l'art. 356 al. 2 CPP, le tribunal de première instance statue sur la validité de l'opposition formée à une ordonnance pénale.</w:t>
      </w:r>
    </w:p>
    <w:p>
      <w:r>
        <w:rPr>
          <w:b/>
        </w:rPr>
        <w:t>E. 5.2</w:t>
      </w:r>
    </w:p>
    <w:p>
      <w:r>
        <w:t>À teneur de l'art. 354 CPP, le prévenu peut former opposition contre l'ordonnance pénale devant le Ministère public, par écrit et dans les 10 jours (al. 1 let. a). Si aucune opposition n'est valablement formée, l'ordonnance pénale est assimilée à un jugement entré en force (al. 3).</w:t>
      </w:r>
    </w:p>
    <w:p>
      <w:r>
        <w:rPr>
          <w:b/>
        </w:rPr>
        <w:t>E. 5.3</w:t>
      </w:r>
    </w:p>
    <w:p>
      <w:r>
        <w:t>Le système de l'ordonnance pénale n'est conforme aux exigences découlant des art. 6 CEDH et 14 Pacte ONU II que si le prévenu peut librement accepter ou refuser l'offre qui lui est faite. Mais accepter cette offre de jugement c'est aussi renoncer à l'exercice des droits fondamentaux de la personne faisant l'objet d'une accusation en matière pénale. Les droits fondamentaux liés au statut de l'accusé ne sont pas des</w:t>
      </w:r>
    </w:p>
    <w:p>
      <w:r>
        <w:t>- 5/8 - P/18078/2023 droits absolus; l'accusé peut y renoncer, y compris de manière implicite. C'est d'ailleurs le cas de l'ordonnance pénale, puisque l'acceptation de l'offre de jugement repose sur l'absence de réaction du prévenu dans le délai institué par la loi pour former opposition. Pour renoncer valablement à ces prérogatives, il est notamment indispensable que l'accusé donne un consentement univoque, libre et éclairé. Dans le domaine de l'ordonnance pénale, il faut donc s'assurer que c'est en toute connaissance de cause que le prévenu n'a pas formé opposition. Il faudra donc, notamment, que le prévenu ait conscience de recevoir une offre de condamnation et qu'il en comprenne, à tout le moins dans les grandes lignes, la portée. Il doit encore être pleinement conscient de son droit d'être jugé par un tribunal, en formant opposition. Cette exigence de compréhension pose notamment la question de la maîtrise de la langue dans laquelle l'ordonnance est rédigée (Y. JEANNERET, L'ordonnance pénale et la procédure simplifiée dans le CPP, in Procédure pénale suisse, Approche théorique et mise en oeuvre cantonale, 2010, n. 7-9 pp. 77-78 et les références citées). Selon l'art. 68 al. 1 CPP, la direction de la procédure fait appel à un traducteur ou un interprète lorsqu'une personne participant à la procédure ne comprend pas la langue utilisée ou n'est pas en mesure de s'exprimer suffisamment bien dans cette langue (al. 1, 1ère phrase). Le contenu essentiel des actes de procédure les plus importants est porté à la connaissance du prévenu oralement ou par écrit dans une langue qu'il comprend, même si celui-ci est assisté d'un défenseur (al. 2). En règle générale, singulièrement lorsqu'il n'est pas défendu par un avocat, le prévenu a le droit que lui soient traduits, à tout le moins, le dispositif du jugement ou de l'ordonnance pénale et l'énoncé des voies de droit (Y. JEANNERET, ibid; L. MOREILLON / A. PAREIN-REYMOND, Petit Commentaire CPP, Bâle 2016, n. 22a ad art. 68 CPP).</w:t>
      </w:r>
    </w:p>
    <w:p>
      <w:r>
        <w:rPr>
          <w:b/>
        </w:rPr>
        <w:t>E. 5.4</w:t>
      </w:r>
    </w:p>
    <w:p>
      <w:r>
        <w:t>En l'espèce, le recourant ne conteste pas la tardiveté de l'opposition, celle-ci étant du reste manifeste. Il conteste la validité de la notification de l'ordonnance pénale, au motif que son dispositif et les voies de droit ne lui auraient pas été traduits dans une langue qu'il comprend. Il semble établi que le recourant ne parle et ne comprend que la langue arabe, étant précisé que c'est dans cette langue qu'il a été entendu par la police, avec un interprète, le 17 août 2023. À teneur de la mention figurant en page 5 de l'ordonnance pénale du 18 août 2023, dite ordonnance lui a été traduite en langue arabe par un interprète et notifiée en mains propres. Rien au dossier ne permet d'infirmer que l'interprète n'aurait pas traduit à tout le moins le dispositif et les voies de droit idoines, cette allégation ne reposant que sur les propres dires du recourant.</w:t>
      </w:r>
    </w:p>
    <w:p>
      <w:r>
        <w:t>- 6/8 - P/18078/2023 Que l'interprète ayant officié soit désigné comme un interprète en langue espagnole sur le bon à payer figurant au dossier ne saurait constituer un quelconque indice en faveur de la thèse du recourant, l'interprète en question pouvant parfaitement parler plusieurs langues. En outre, le recourant n'a jamais affirmé que l'interprète serait intervenu à ses côtés en espagnol. Enfin, le fait que le recourant ait immédiatement formé opposition à une autre ordonnance pénale, en octobre 2023, ne signifie pas qu'il ne pouvait agir autrement lorsque l'ordonnance pénale du 18 août 2023 lui a été notifiée. Il y a ainsi lieu d'admettre que la notification de l'ordonnance pénale du 18 août 2023 apparaît valable. Le recourant disposait dès lors de tous les éléments permettant d'en comprendre la portée et était informé de la faculté de s'y opposer par simple déclaration de volonté à l'autorité dans un délai de 10 jours. Il s'ensuit que c'est à bon droit que le Tribunal de police a constaté que son opposition du 19 octobre 2023 était tardive. Il n'appartenait pas à cette autorité de trancher la question d'une éventuelle restitution de délai, que le Ministère public avait, en l'espèce, dans son ordonnance sur opposition tardive, reportée à juste titre après la décision du Tribunal de police sur la validité de l'opposition à l'ordonnance pénale. La Chambre de céans ne peut, par conséquent, être saisie, à ce stade, d'une contestation en la matière, l'examen de cette question revenant au Ministère public, à qui le dossier sera donc retourné.</w:t>
      </w:r>
    </w:p>
    <w:p>
      <w:r>
        <w:rPr>
          <w:b/>
        </w:rPr>
        <w:t>E. 6</w:t>
      </w:r>
    </w:p>
    <w:p>
      <w:r>
        <w:t>Le recours s'avérant infondé, il sera rejeté.</w:t>
      </w:r>
    </w:p>
    <w:p>
      <w:r>
        <w:rPr>
          <w:b/>
        </w:rPr>
        <w:t>E. 7</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 * * * *</w:t>
      </w:r>
    </w:p>
    <w:p>
      <w:r>
        <w:t>- 7/8 - P/18078/2023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