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ACPR/2/2020 vom 4. November 2019</w:t>
      </w:r>
    </w:p>
    <w:p>
      <w:r>
        <w:t>GE Cour de justice, 2019-11-04, FR</w:t>
      </w:r>
    </w:p>
    <w:p>
      <w:r>
        <w:rPr>
          <w:b/>
        </w:rPr>
        <w:t xml:space="preserve">Quelle: </w:t>
      </w:r>
      <w:r>
        <w:t>https://mcp.opencaselaw.ch/entscheid/ge_gerichte_ACPR_2_2020</w:t>
      </w:r>
    </w:p>
    <w:p>
      <w:r>
        <w:t>FR: GE_GERICHTE ACPR/2/2020 du 4 novembre 2019</w:t>
      </w:r>
    </w:p>
    <w:p>
      <w:r>
        <w:t>IT: GE_GERICHTE ACPR/2/2020 del 4 novembre 2019</w:t>
      </w:r>
    </w:p>
    <w:p>
      <w:pPr>
        <w:pStyle w:val="Heading2"/>
      </w:pPr>
      <w:r>
        <w:t>Erwägungen</w:t>
      </w:r>
    </w:p>
    <w:p>
      <w:r>
        <w:rPr>
          <w:b/>
        </w:rPr>
        <w:t>E. 1</w:t>
      </w:r>
    </w:p>
    <w:p>
      <w:r>
        <w:t>Le recours a été déposé selon la forme et dans le délai prescrits (art. 385 al. 1 et 396 al. 1 CPP) – les formalités de l'art. 85 al. 2 CPP n'ayant pas été observées – concerne une ordonnance sujette à recours auprès de la Chambre de céans (art. 393 al. 1 let. a CPP) et émane de la prévenue, qui partie à la procédure (art. 104 al. 1 let. a CPP), a qualité pour agir, ayant un intérêt juridiquement protégé à la modification ou à l'annulation de la décision querellée (art. 382 al. 1 CPP).</w:t>
      </w:r>
    </w:p>
    <w:p>
      <w:r>
        <w:t>- 4/7 - P/9515/2018</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29 CPP ("Principe de l'unité de la procédure"), les infractions sont poursuivies et jugées conjointement lorsqu'un prévenu a commis plusieurs infractions (al. 1 let. a) ou s'il y a plusieurs coauteurs ou participants (al. 1 let. b). Si des raisons objectives le justifient, le ministère public et les tribunaux peuvent ordonner la jonction ou la disjonction de procédures pénales (art. 30 CPP). Le principe d'unité de la procédure découle déjà de l'art. 49 CP et, sous réserve d'exceptions, s'applique à toutes les situations où plusieurs infractions, respectivement plusieurs personnes, doivent être jugées ensemble (A. KUHN / Y. JEANNERET (éds), Code de procédure pénale suisse, Bâle 2011, n. 1 ad art. 29). Ce principe tend à éviter les jugements contradictoires quant à l'état de fait, l'appréciation juridique ou la quotité de la peine. Il sert en outre l'économie de la procédure (ATF 138 IV 214 consid. 3; 138 IV 29 consid. 3.2).</w:t>
      </w:r>
    </w:p>
    <w:p>
      <w:r>
        <w:rPr>
          <w:b/>
        </w:rPr>
        <w:t>E. 3.2</w:t>
      </w:r>
    </w:p>
    <w:p>
      <w:r>
        <w:t>L'art. 30 CPP prévoit la possibilité de déroger au principe de l'unité de la procédure. Cette faculté entraîne une extension de l'unité de la procédure à des situations qui ne sont pas incluses dans l'art. 29 CPP (ACPR/133/2013 du 10 avril 2013; A. KUHN / Y. JEANNERET, op. cit., n. 3 ad art. 30). Une telle dérogation exige toutefois des raisons objectives, ce qui exclut de se fonder, par exemple, sur de simples motifs de commodité (Ibid., n. 2 ad art. 30). La disjonction des causes en vertu de l'art. 30 CPP doit cependant rester l'exception et l'unité de la procédure la règle, dans un but d'économie de procédure, d'une part, mais aussi afin de prévenir le prononcé de décisions contraires, d'autre part. Ainsi, le Tribunal fédéral a considéré qu'en vertu du principe de l'unité de procédure, le ministère public était tenu de joindre des procédures à l'encontre du même prévenu quand bien même la nature des infractions était fort différente, en l'occurrence violences domestiques et escroquerie (ATF 138 IV 214 consid. 3.6 et 3.7; L. MOREILLON / A. PAREIN-REYMOND, op. cit., n. 5 ad art. 29; ACPR/581/2016 du 14 septembre 2016). Une étroite connexité entre différentes infractions plaide également pour une jonction au sens de l'art. 30 CPP. Elle est notamment donnée, lorsque des participants s'accusent mutuellement d'infractions qui auraient été commises dans le cadre d'un même conflit. Une jonction des causes dans ce cas de figure va dans l'intérêt de l'économie de procédure et permet d'éviter des décisions contradictoires. Le Tribunal fédéral a ainsi considéré que dans le cas d'une personne blessée par des policiers qu'elle aurait agressés auparavant, les procédures ouvertes contre la victime et les agents de police devaient être instruites par un seul ministère public, en l'occurrence extraordinaire (ATF 138 IV 29 consid. 5.5; ACPR/654/2016 du 13 octobre 2016).</w:t>
      </w:r>
    </w:p>
    <w:p>
      <w:r>
        <w:t>- 5/7 - P/9515/2018</w:t>
      </w:r>
    </w:p>
    <w:p>
      <w:r>
        <w:rPr>
          <w:b/>
        </w:rPr>
        <w:t>E. 3.3</w:t>
      </w:r>
    </w:p>
    <w:p>
      <w:r>
        <w:t>En l'espèce, la recourante est prévenue, dans deux procédures instruites distinctement, de la commission de plusieurs infractions. Conformément au principe de l'unité des poursuites, il paraît nécessaire que ces infractions soient poursuivies conjointement et qu'un seul juge se prononce, le cas échéant, sur l'ensemble. Si la connexité entre les infractions reprochées à un prévenu appelle évidemment une jonction des causes, l'absence de connexité ne constitue pas un motif pour déroger au principe de l'unité de la procédure de l'art. 29 CPP, qui veut que l'ensemble des infractions reprochées à un prévenu soit poursuivi et jugé en même temps, sous peine de quoi cette disposition n'aurait quasiment aucune portée. Peu importe dès lors que la nature de certaines infractions reprochées à la prévenue soit différente. La recourante ne soutient du reste pas que la procédure P/9515/2018 devrait faire l'objet d'une instruction séparée des autres faits qui lui sont reprochés. Elle prétend seulement que la jonction de cette procédure à celle faisant suite à la plainte pénale de l'HOSPICE GENERAL (P/1______/2019) permettrait aux autres parties d'avoir accès à des pièces qui touchent à sa sphère privée et, par ce biais, de lui nuire. Or, une jonction de causes (art. 29 CPP) n'a pas, en elle-même, pour effet de rendre accessibles à d'autres participants les pièces du dossier joint, les conditions d'accès au dossier étant régies par des normes spécifiques et distinctes (cf. art. 101, 102 al. 1 et 108 CPP). L'éventuel accès, par une partie dans la P/9515/2018, au dossier de la P/1______/2019 n'étant pas l'objet de la décision querellée, il n'y a pas lieu que la Chambre de céans s'en saisisse à ce stade (ACPR/903/2019 du 18 novembre 2019). Partant, l'ordonnance de jonction querellée apparaît parfaitement justifiée, sous l'angle de l'unité de la procédure prévue à l'art. 29 al. 1 CPP.</w:t>
      </w:r>
    </w:p>
    <w:p>
      <w:r>
        <w:rPr>
          <w:b/>
        </w:rPr>
        <w:t>E. 4</w:t>
      </w:r>
    </w:p>
    <w:p>
      <w:r>
        <w:t>Justifiée, l'ordonnance querellée sera donc confirmée.</w:t>
      </w:r>
    </w:p>
    <w:p>
      <w:r>
        <w:rPr>
          <w:b/>
        </w:rPr>
        <w:t>E. 5</w:t>
      </w:r>
    </w:p>
    <w:p>
      <w:r>
        <w:t>La recourante, qui succombe, supportera les frais envers l'État, qui comprendront un émolument de CHF 900.- (art. 428 al. 1 CPP et 13 al. 1 du Règlement fixant le tarif des frais en matière pénale, RTFMP ; E 4 10.03). * * * * *</w:t>
      </w:r>
    </w:p>
    <w:p>
      <w:r>
        <w:t>- 6/7 - P/9515/2018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