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ACPR/29/2019 vom 21. Dezember 2018</w:t>
      </w:r>
    </w:p>
    <w:p>
      <w:r>
        <w:t>GE Cour de justice, 2018-12-21, FR</w:t>
      </w:r>
    </w:p>
    <w:p>
      <w:r>
        <w:rPr>
          <w:b/>
        </w:rPr>
        <w:t xml:space="preserve">Quelle: </w:t>
      </w:r>
      <w:r>
        <w:t>https://mcp.opencaselaw.ch/entscheid/ge_gerichte_ACPR_29_2019</w:t>
      </w:r>
    </w:p>
    <w:p>
      <w:r>
        <w:t>FR: GE_GERICHTE ACPR/29/2019 du 21 décembre 2018</w:t>
      </w:r>
    </w:p>
    <w:p>
      <w:r>
        <w:t>IT: GE_GERICHTE ACPR/29/2019 del 21 dicembre 2018</w:t>
      </w:r>
    </w:p>
    <w:p>
      <w:pPr>
        <w:pStyle w:val="Heading2"/>
      </w:pPr>
      <w:r>
        <w:t>Erwägungen</w:t>
      </w:r>
    </w:p>
    <w:p>
      <w:r>
        <w:rPr>
          <w:b/>
        </w:rPr>
        <w:t>E. 1</w:t>
      </w:r>
    </w:p>
    <w:p>
      <w:r>
        <w:t>Le recours est recevable pour avoir été déposé selon la forme et dans le délai prescrits (art. 396 al. 1 CPP), concerner une ordonnance sujette à recours auprès de la Chambre de céans (art. 222 et 393 al. 1 let. a CPP) et émaner de la prévenue qui, partie à la procédure (art. 104 al. 1 let. a CPP), a qualité pour agir, ayant un intérêt juridiquement protégé à la modification ou à l'annulation de la décision attaquée (art. 382 al. 1 CPP).</w:t>
      </w:r>
    </w:p>
    <w:p>
      <w:r>
        <w:rPr>
          <w:b/>
        </w:rPr>
        <w:t>E. 2</w:t>
      </w:r>
    </w:p>
    <w:p>
      <w:r>
        <w:t>La recourante conteste l'existence de charges suffisantes, au motif que son compagnon l'avait dénoncé de façon calomnieuse.</w:t>
      </w:r>
    </w:p>
    <w:p>
      <w:r>
        <w:t>- 4/7 - P/9364/201414225/2018</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du Tribunal fédéral 1B_208/2018 du 28 mai 2018 consid. 4.1).</w:t>
      </w:r>
    </w:p>
    <w:p>
      <w:r>
        <w:rPr>
          <w:b/>
        </w:rPr>
        <w:t>E. 2.2</w:t>
      </w:r>
    </w:p>
    <w:p>
      <w:r>
        <w:t>À la lumière de ces principes, les charges, en ce tout début d'enquête, sont suffisantes. La découverte de stupéfiants dans l'appartement occupé par la recourante et par son ami et l'aveu qu'à une reprise au moins, la recourante avait donné le numéro de téléphone de celui-ci à une consommatrice suffisent, en l'état, à corroborer les déclarations du co-prévenu et à rendre plausible une participation de la recourante à l'écoulement de cocaïne depuis qu'ils cohabitent. La procédure n'a pas encore clarifié si les collègues professionnelles de la recourante achetaient de la cocaïne et si, dans l'affirmative, elles le faisaient pour elles-mêmes ou pour leurs clients. Les données inscrites dans le carnet et celles enregistrées dans le téléphone devraient apporter des réponses, qui permettront de mieux cerner l'ampleur du trafic soupçonné. La question d'une preuve "certaine" de l'implication de la recourante sera, le cas échéant, posée au juge du fond, tout comme celle d'une éventuelle vengeance ourdie par le co-prévenu. À ce stade précoce de l'enquête, il suffit de relever que celui-ci ne s'exculpe nullement d'un trafic de stupéfiants et prétend seulement que la recourante a été sa complice, en lui permettant d'approvisionner des prostituées.</w:t>
      </w:r>
    </w:p>
    <w:p>
      <w:r>
        <w:rPr>
          <w:b/>
        </w:rPr>
        <w:t>E. 3</w:t>
      </w:r>
    </w:p>
    <w:p>
      <w:r>
        <w:t>La recourante fait valoir que le risque de collusion nécessitait des indices tangibles et que son téléphone pouvait être examiné sans qu'elle ne soit détenue.</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w:t>
      </w:r>
    </w:p>
    <w:p>
      <w:r>
        <w:t>- 5/7 - P/9364/201414225/2018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p. 127 s.; 132 I 21 consid. 3.2 p. 23; 128 I 149 consid. 2.1 p. 151; 123 I 31 consid. 3c p. 35 et les références).</w:t>
      </w:r>
    </w:p>
    <w:p>
      <w:r>
        <w:rPr>
          <w:b/>
        </w:rPr>
        <w:t>E. 3.2</w:t>
      </w:r>
    </w:p>
    <w:p>
      <w:r>
        <w:t>En l’espèce, le Ministère public a clairement énoncé les investigations prévues, qui sont légitimes. Il est, certes, possible d'exploiter les deux supports de données sans maintien en détention de la recourante. Toutefois, l'on ignore en l'état ce que révèlent exactement les inscriptions dans le carnet et le contenu du téléphone portable. Une liste de noms, par exemple, ne dirait encore rien des identités ni, le cas échéant, des quantités de stupéfiants écoulées et du bénéfice retiré. La recourante n'a pas encore été interrogée sur l'appartement dans lequel le co-prévenu a conduit la police. Or, il est à craindre que, si elle était libérée, la recourante ne tente de contacter les personnes qu'elle pourrait avoir mises en relation avec le co-prévenu et d'influencer par-là la détermination de l'ampleur du trafic, voire ne permette à ces personnes – si ce n'est au fournisseur de la drogue, dont le co-prévenu a refusé de parler – de se soustraire à la justice. Le risque de collusion est donc concret.</w:t>
      </w:r>
    </w:p>
    <w:p>
      <w:r>
        <w:rPr>
          <w:b/>
        </w:rPr>
        <w:t>E. 4</w:t>
      </w:r>
    </w:p>
    <w:p>
      <w:r>
        <w:t>Il n'est ainsi pas nécessaire d'examiner si, en sus, le risque de fuite ferait obstacle à la libération de la recourante.</w:t>
      </w:r>
    </w:p>
    <w:p>
      <w:r>
        <w:rPr>
          <w:b/>
        </w:rPr>
        <w:t>E. 5</w:t>
      </w:r>
    </w:p>
    <w:p>
      <w:r>
        <w:t>Le dépôt de papiers d'identité (art. 237 al. 2 let. b CPP) n'est pas un palliatif au risque de collusion.</w:t>
      </w:r>
    </w:p>
    <w:p>
      <w:r>
        <w:rPr>
          <w:b/>
        </w:rPr>
        <w:t>E. 6</w:t>
      </w:r>
    </w:p>
    <w:p>
      <w:r>
        <w:t>Le recours sera par conséquent rejeté. La recourante supportera les frais de l'instance, qui comprendront un émolument de CHF 900.- (art. 428 al. 1 CPP et 13 al. 1 du Règlement fixant le tarif des frais en matière pénale, RTFMP; E 4 10.03). * * * * *</w:t>
      </w:r>
    </w:p>
    <w:p>
      <w:r>
        <w:t>- 6/7 - P/9364/201414225/2018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