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ACPR/299/2024 vom 15. Dezember 2023</w:t>
      </w:r>
    </w:p>
    <w:p>
      <w:r>
        <w:t>GE Cour de justice, 2023-12-15, FR</w:t>
      </w:r>
    </w:p>
    <w:p>
      <w:r>
        <w:rPr>
          <w:b/>
        </w:rPr>
        <w:t xml:space="preserve">Quelle: </w:t>
      </w:r>
      <w:r>
        <w:t>https://mcp.opencaselaw.ch/entscheid/ge_gerichte_ACPR_299_2024</w:t>
      </w:r>
    </w:p>
    <w:p>
      <w:r>
        <w:t>FR: GE_GERICHTE ACPR/299/2024 du 15 décembre 2023</w:t>
      </w:r>
    </w:p>
    <w:p>
      <w:r>
        <w:t>IT: GE_GERICHTE ACPR/299/2024 del 15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b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3</w:t>
      </w:r>
    </w:p>
    <w:p>
      <w:r>
        <w:t>Le recourant reproche au Tribunal de police de ne pas avoir admis son opposition et annulé l'émolument de CHF 60.- ajouté à l'amende d'ordre, qu'il avait payée.</w:t>
      </w:r>
    </w:p>
    <w:p>
      <w:r>
        <w:rPr>
          <w:b/>
        </w:rPr>
        <w:t>E. 3.1</w:t>
      </w:r>
    </w:p>
    <w:p>
      <w:r>
        <w:t>Selon l'art. 356 al. 2 CPP, le tribunal de première instance statue sur la validité de l'opposition formée à une ordonnance pénale.</w:t>
      </w:r>
    </w:p>
    <w:p>
      <w:r>
        <w:rPr>
          <w:b/>
        </w:rPr>
        <w:t>E. 3.2</w:t>
      </w:r>
    </w:p>
    <w:p>
      <w:r>
        <w:t>À teneur de l'art. 354 al. 1 CPP, l'opposition doit être formée par écrit et dans les dix jours. Si aucune opposition n'est valablement formée, l'ordonnance pénale est assimilée à un jugement entré en force (al. 3).</w:t>
      </w:r>
    </w:p>
    <w:p>
      <w:r>
        <w:rPr>
          <w:b/>
        </w:rPr>
        <w:t>E. 3.3</w:t>
      </w:r>
    </w:p>
    <w:p>
      <w:r>
        <w:t>Pour être valable, cette opposition doit être déposée, au plus tard, le dernier jour du délai à la Poste suisse (art. 91 al. 2 CPP). Lorsque la loi exige une transmission écrite – comme pour l'opposition à une ordonnance pénale –, l'acte en cause doit être daté et signé (art. 110 al. 1 CPP; ATF 145 IV 190 consid. 1.3.2).</w:t>
      </w:r>
    </w:p>
    <w:p>
      <w:r>
        <w:rPr>
          <w:b/>
        </w:rPr>
        <w:t>E. 3.4</w:t>
      </w:r>
    </w:p>
    <w:p>
      <w:r>
        <w:t>En l'espèce, l'ordonnance pénale a été notifiée le 24 juillet 2023 au recourant, qui a formé opposition le même jour, par courriel. Le Tribunal de police, saisi de la cause par le SdC, a invité le recourant à lui faire parvenir une opposition formelle contenant sa signature manuscrite, conformément à l'art. 110 al. 1 CP, car celle formée par courriel le 24 juillet 2023 ne revêtait pas la forme requise par la loi. Le recourant n'a toutefois pas donné suite à cette invite, à laquelle il a répondu par courriel. Partant, l'opposition à l'ordonnance pénale est irrecevable, ayant été formée dans une forme non prévue par la loi, ce que le Tribunal de police a constaté à bon droit.</w:t>
      </w:r>
    </w:p>
    <w:p>
      <w:r>
        <w:t>- 5/7 - P/25474/2023 En raison de cette irrecevabilité, la Chambre de céans ne peut pas traiter les griefs du recourant, qui se limitent à l'émolument de CHF 60.- [le Tribunal ayant constaté que l'amende d'ordre avait été payée le 7 août 2023].</w:t>
      </w:r>
    </w:p>
    <w:p>
      <w:r>
        <w:rPr>
          <w:b/>
        </w:rPr>
        <w:t>E. 4</w:t>
      </w:r>
    </w:p>
    <w:p>
      <w:r>
        <w:t>Partant, le recours sera rejeté.</w:t>
      </w:r>
    </w:p>
    <w:p>
      <w:r>
        <w:rPr>
          <w:b/>
        </w:rPr>
        <w:t>E. 5</w:t>
      </w:r>
    </w:p>
    <w:p>
      <w:r>
        <w:t>Le recourant, qui succombe, supportera les frais envers l'État, qui seront fixés en totalité à CHF 150.-, pour tenir compte des revenus allégués du recourant (art. 428 al. 1 CPP et 13 al. 1 du Règlement fixant le tarif des frais en matière pénale, RTFMP ; E 4 10.03). * * * * *</w:t>
      </w:r>
    </w:p>
    <w:p>
      <w:r>
        <w:t>- 6/7 - P/25474/2023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